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23" w:rsidRDefault="00A45023" w:rsidP="0068104D">
      <w:pPr>
        <w:jc w:val="center"/>
        <w:rPr>
          <w:lang w:val="fr-FR"/>
        </w:rPr>
      </w:pPr>
    </w:p>
    <w:p w:rsidR="00A45023" w:rsidRDefault="00A45023" w:rsidP="0068104D">
      <w:pPr>
        <w:jc w:val="center"/>
        <w:rPr>
          <w:lang w:val="fr-FR"/>
        </w:rPr>
      </w:pPr>
    </w:p>
    <w:p w:rsidR="00A45023" w:rsidRPr="00C06B2C" w:rsidRDefault="00A45023" w:rsidP="0068104D">
      <w:pPr>
        <w:jc w:val="center"/>
        <w:rPr>
          <w:lang w:val="fr-FR"/>
        </w:rPr>
      </w:pPr>
    </w:p>
    <w:p w:rsidR="00A45023" w:rsidRPr="00685582" w:rsidRDefault="00A45023" w:rsidP="0068104D">
      <w:pPr>
        <w:jc w:val="center"/>
        <w:rPr>
          <w:lang w:val="fr-FR"/>
        </w:rPr>
      </w:pPr>
      <w:r>
        <w:rPr>
          <w:lang w:val="fr-FR"/>
        </w:rPr>
        <w:t>DEUXIÈME SECTION</w:t>
      </w:r>
    </w:p>
    <w:p w:rsidR="00A45023" w:rsidRDefault="00A45023" w:rsidP="0068104D">
      <w:pPr>
        <w:jc w:val="center"/>
        <w:rPr>
          <w:lang w:val="fr-FR"/>
        </w:rPr>
      </w:pPr>
    </w:p>
    <w:p w:rsidR="00A45023" w:rsidRDefault="00A45023" w:rsidP="0068104D">
      <w:pPr>
        <w:jc w:val="center"/>
        <w:rPr>
          <w:lang w:val="fr-FR"/>
        </w:rPr>
      </w:pPr>
    </w:p>
    <w:p w:rsidR="00A45023" w:rsidRDefault="00A45023" w:rsidP="0068104D">
      <w:pPr>
        <w:jc w:val="center"/>
        <w:rPr>
          <w:lang w:val="ru-RU"/>
        </w:rPr>
      </w:pPr>
    </w:p>
    <w:p w:rsidR="00A45023" w:rsidRPr="007C09A5" w:rsidRDefault="00A45023" w:rsidP="0068104D">
      <w:pPr>
        <w:jc w:val="center"/>
        <w:rPr>
          <w:lang w:val="ru-RU"/>
        </w:rPr>
      </w:pPr>
    </w:p>
    <w:p w:rsidR="00A45023" w:rsidRDefault="00A45023" w:rsidP="0068104D">
      <w:pPr>
        <w:jc w:val="center"/>
        <w:rPr>
          <w:lang w:val="fr-FR"/>
        </w:rPr>
      </w:pPr>
    </w:p>
    <w:p w:rsidR="00A45023" w:rsidRDefault="00A45023" w:rsidP="0068104D">
      <w:pPr>
        <w:jc w:val="center"/>
        <w:rPr>
          <w:lang w:val="fr-FR"/>
        </w:rPr>
      </w:pPr>
    </w:p>
    <w:p w:rsidR="00A45023" w:rsidRPr="00685582" w:rsidRDefault="00A45023" w:rsidP="0068104D">
      <w:pPr>
        <w:jc w:val="center"/>
        <w:rPr>
          <w:lang w:val="fr-FR"/>
        </w:rPr>
      </w:pPr>
    </w:p>
    <w:p w:rsidR="00A45023" w:rsidRPr="00685582" w:rsidRDefault="00A45023" w:rsidP="0068104D">
      <w:pPr>
        <w:jc w:val="center"/>
        <w:rPr>
          <w:b/>
          <w:lang w:val="fr-FR"/>
        </w:rPr>
      </w:pPr>
      <w:bookmarkStart w:id="0" w:name="To"/>
      <w:r w:rsidRPr="00685582">
        <w:rPr>
          <w:b/>
          <w:lang w:val="fr-FR"/>
        </w:rPr>
        <w:t xml:space="preserve">AFFAIRE </w:t>
      </w:r>
      <w:bookmarkEnd w:id="0"/>
      <w:r>
        <w:rPr>
          <w:b/>
          <w:lang w:val="fr-FR"/>
        </w:rPr>
        <w:t>CAPONETTO c. ITALIE</w:t>
      </w:r>
    </w:p>
    <w:p w:rsidR="00A45023" w:rsidRPr="00685582" w:rsidRDefault="00A45023" w:rsidP="0068104D">
      <w:pPr>
        <w:jc w:val="center"/>
        <w:rPr>
          <w:lang w:val="fr-FR"/>
        </w:rPr>
      </w:pPr>
    </w:p>
    <w:p w:rsidR="00A45023" w:rsidRDefault="00A45023" w:rsidP="0068104D">
      <w:pPr>
        <w:jc w:val="center"/>
        <w:rPr>
          <w:szCs w:val="24"/>
          <w:lang w:val="fr-FR"/>
        </w:rPr>
      </w:pPr>
      <w:r w:rsidRPr="00685582">
        <w:rPr>
          <w:i/>
          <w:lang w:val="fr-FR"/>
        </w:rPr>
        <w:t>(Requête n</w:t>
      </w:r>
      <w:r w:rsidRPr="00685582">
        <w:rPr>
          <w:i/>
          <w:vertAlign w:val="superscript"/>
          <w:lang w:val="fr-FR"/>
        </w:rPr>
        <w:t>o</w:t>
      </w:r>
      <w:r>
        <w:rPr>
          <w:i/>
          <w:lang w:val="fr-FR"/>
        </w:rPr>
        <w:t>61273/10</w:t>
      </w:r>
      <w:r w:rsidRPr="00685582">
        <w:rPr>
          <w:i/>
          <w:lang w:val="fr-FR"/>
        </w:rPr>
        <w:t>)</w:t>
      </w:r>
    </w:p>
    <w:p w:rsidR="00A45023" w:rsidRDefault="00A45023" w:rsidP="0068104D">
      <w:pPr>
        <w:jc w:val="center"/>
        <w:rPr>
          <w:szCs w:val="24"/>
          <w:u w:val="single"/>
          <w:lang w:val="fr-FR"/>
        </w:rPr>
      </w:pPr>
    </w:p>
    <w:p w:rsidR="00A45023" w:rsidRDefault="00A45023" w:rsidP="0068104D">
      <w:pPr>
        <w:jc w:val="center"/>
        <w:rPr>
          <w:szCs w:val="24"/>
          <w:u w:val="single"/>
          <w:lang w:val="fr-FR"/>
        </w:rPr>
      </w:pPr>
    </w:p>
    <w:p w:rsidR="00A45023" w:rsidRDefault="00A45023" w:rsidP="0068104D">
      <w:pPr>
        <w:jc w:val="center"/>
        <w:rPr>
          <w:szCs w:val="24"/>
          <w:u w:val="single"/>
          <w:lang w:val="fr-FR"/>
        </w:rPr>
      </w:pPr>
    </w:p>
    <w:p w:rsidR="00A45023" w:rsidRDefault="00A45023" w:rsidP="0068104D">
      <w:pPr>
        <w:jc w:val="center"/>
        <w:rPr>
          <w:szCs w:val="24"/>
          <w:u w:val="single"/>
          <w:lang w:val="fr-FR"/>
        </w:rPr>
      </w:pPr>
    </w:p>
    <w:p w:rsidR="00A45023" w:rsidRDefault="00A45023" w:rsidP="0068104D">
      <w:pPr>
        <w:jc w:val="center"/>
        <w:rPr>
          <w:szCs w:val="24"/>
          <w:u w:val="single"/>
          <w:lang w:val="fr-FR"/>
        </w:rPr>
      </w:pPr>
    </w:p>
    <w:p w:rsidR="00A45023" w:rsidRDefault="00A45023" w:rsidP="0068104D">
      <w:pPr>
        <w:jc w:val="center"/>
        <w:rPr>
          <w:szCs w:val="24"/>
          <w:u w:val="single"/>
          <w:lang w:val="fr-FR"/>
        </w:rPr>
      </w:pPr>
    </w:p>
    <w:p w:rsidR="00A45023" w:rsidRDefault="00A45023" w:rsidP="0068104D">
      <w:pPr>
        <w:jc w:val="center"/>
        <w:rPr>
          <w:szCs w:val="24"/>
          <w:u w:val="single"/>
          <w:lang w:val="fr-FR"/>
        </w:rPr>
      </w:pPr>
    </w:p>
    <w:p w:rsidR="00A45023" w:rsidRDefault="00A45023" w:rsidP="0068104D">
      <w:pPr>
        <w:jc w:val="center"/>
        <w:rPr>
          <w:szCs w:val="24"/>
          <w:u w:val="single"/>
          <w:lang w:val="fr-FR"/>
        </w:rPr>
      </w:pPr>
    </w:p>
    <w:p w:rsidR="00A45023" w:rsidRDefault="00A45023" w:rsidP="0068104D">
      <w:pPr>
        <w:jc w:val="center"/>
        <w:rPr>
          <w:szCs w:val="24"/>
          <w:u w:val="single"/>
          <w:lang w:val="fr-FR"/>
        </w:rPr>
      </w:pPr>
    </w:p>
    <w:p w:rsidR="00A45023" w:rsidRPr="00092905" w:rsidRDefault="00A45023" w:rsidP="00092905">
      <w:pPr>
        <w:jc w:val="center"/>
        <w:rPr>
          <w:szCs w:val="24"/>
          <w:lang w:val="fr-FR"/>
        </w:rPr>
      </w:pPr>
      <w:r>
        <w:rPr>
          <w:szCs w:val="24"/>
          <w:lang w:val="fr-FR"/>
        </w:rPr>
        <w:t>ARRÊT</w:t>
      </w:r>
    </w:p>
    <w:p w:rsidR="00A45023" w:rsidRDefault="00A45023" w:rsidP="00092905">
      <w:pPr>
        <w:jc w:val="center"/>
        <w:rPr>
          <w:szCs w:val="24"/>
          <w:lang w:val="fr-FR"/>
        </w:rPr>
      </w:pPr>
    </w:p>
    <w:p w:rsidR="00A45023" w:rsidRDefault="00A45023" w:rsidP="00092905">
      <w:pPr>
        <w:jc w:val="center"/>
        <w:rPr>
          <w:szCs w:val="24"/>
          <w:lang w:val="fr-FR"/>
        </w:rPr>
      </w:pPr>
    </w:p>
    <w:p w:rsidR="00A45023" w:rsidRDefault="00A45023" w:rsidP="00092905">
      <w:pPr>
        <w:jc w:val="center"/>
        <w:rPr>
          <w:szCs w:val="24"/>
          <w:lang w:val="fr-FR"/>
        </w:rPr>
      </w:pPr>
    </w:p>
    <w:p w:rsidR="00A45023" w:rsidRDefault="00A45023" w:rsidP="00092905">
      <w:pPr>
        <w:jc w:val="center"/>
        <w:rPr>
          <w:szCs w:val="24"/>
          <w:lang w:val="fr-FR"/>
        </w:rPr>
      </w:pPr>
      <w:r>
        <w:rPr>
          <w:szCs w:val="24"/>
          <w:lang w:val="fr-FR"/>
        </w:rPr>
        <w:t>STRASBOURG</w:t>
      </w:r>
    </w:p>
    <w:p w:rsidR="00A45023" w:rsidRDefault="00A45023" w:rsidP="00092905">
      <w:pPr>
        <w:jc w:val="center"/>
        <w:rPr>
          <w:szCs w:val="24"/>
          <w:lang w:val="fr-FR"/>
        </w:rPr>
      </w:pPr>
    </w:p>
    <w:p w:rsidR="00A45023" w:rsidRDefault="00A45023" w:rsidP="00092905">
      <w:pPr>
        <w:jc w:val="center"/>
        <w:rPr>
          <w:szCs w:val="24"/>
          <w:lang w:val="fr-FR"/>
        </w:rPr>
      </w:pPr>
      <w:r>
        <w:rPr>
          <w:szCs w:val="24"/>
          <w:lang w:val="fr-FR"/>
        </w:rPr>
        <w:t>13 mai 2014</w:t>
      </w:r>
    </w:p>
    <w:p w:rsidR="00A45023" w:rsidRDefault="00A45023" w:rsidP="00092905">
      <w:pPr>
        <w:jc w:val="center"/>
        <w:rPr>
          <w:szCs w:val="24"/>
          <w:lang w:val="fr-FR"/>
        </w:rPr>
      </w:pPr>
    </w:p>
    <w:p w:rsidR="00A45023" w:rsidRDefault="00A45023" w:rsidP="00092905">
      <w:pPr>
        <w:jc w:val="center"/>
        <w:rPr>
          <w:szCs w:val="24"/>
          <w:lang w:val="fr-FR"/>
        </w:rPr>
      </w:pPr>
    </w:p>
    <w:p w:rsidR="00A45023" w:rsidRDefault="00A45023" w:rsidP="00092905">
      <w:pPr>
        <w:jc w:val="center"/>
        <w:rPr>
          <w:szCs w:val="24"/>
          <w:lang w:val="fr-FR"/>
        </w:rPr>
      </w:pPr>
    </w:p>
    <w:p w:rsidR="00A45023" w:rsidRDefault="00A45023" w:rsidP="00092905">
      <w:pPr>
        <w:jc w:val="center"/>
        <w:rPr>
          <w:szCs w:val="24"/>
          <w:lang w:val="fr-FR"/>
        </w:rPr>
      </w:pPr>
    </w:p>
    <w:p w:rsidR="00A45023" w:rsidRDefault="00A45023" w:rsidP="00092905">
      <w:pPr>
        <w:jc w:val="center"/>
        <w:rPr>
          <w:szCs w:val="24"/>
          <w:lang w:val="fr-FR"/>
        </w:rPr>
      </w:pPr>
    </w:p>
    <w:p w:rsidR="00A45023" w:rsidRDefault="00A45023" w:rsidP="007C09A5">
      <w:pPr>
        <w:jc w:val="center"/>
        <w:rPr>
          <w:i/>
          <w:sz w:val="22"/>
          <w:szCs w:val="24"/>
          <w:lang w:val="fr-FR"/>
        </w:rPr>
      </w:pPr>
      <w:r>
        <w:rPr>
          <w:i/>
          <w:sz w:val="22"/>
          <w:szCs w:val="24"/>
          <w:lang w:val="fr-FR"/>
        </w:rPr>
        <w:t>Cet arrêt est définitif. Il peut subir des retouches de forme.</w:t>
      </w:r>
    </w:p>
    <w:p w:rsidR="00A45023" w:rsidRDefault="00A45023" w:rsidP="00092905">
      <w:pPr>
        <w:rPr>
          <w:i/>
          <w:sz w:val="22"/>
          <w:szCs w:val="24"/>
          <w:lang w:val="fr-FR"/>
        </w:rPr>
      </w:pPr>
    </w:p>
    <w:p w:rsidR="00A45023" w:rsidRDefault="00A45023" w:rsidP="00092905">
      <w:pPr>
        <w:rPr>
          <w:i/>
          <w:sz w:val="22"/>
          <w:szCs w:val="24"/>
          <w:lang w:val="fr-FR"/>
        </w:rPr>
      </w:pPr>
    </w:p>
    <w:p w:rsidR="00A45023" w:rsidRPr="00C2507D" w:rsidRDefault="00A45023" w:rsidP="00092905">
      <w:pPr>
        <w:rPr>
          <w:szCs w:val="24"/>
          <w:lang w:val="fr-FR"/>
        </w:rPr>
      </w:pPr>
    </w:p>
    <w:p w:rsidR="00A45023" w:rsidRDefault="00A45023" w:rsidP="0068104D">
      <w:pPr>
        <w:pStyle w:val="JuCase"/>
        <w:rPr>
          <w:lang w:val="fr-FR"/>
        </w:rPr>
        <w:sectPr w:rsidR="00A45023" w:rsidSect="00092905">
          <w:headerReference w:type="default" r:id="rId7"/>
          <w:headerReference w:type="first" r:id="rId8"/>
          <w:footerReference w:type="first" r:id="rId9"/>
          <w:pgSz w:w="11906" w:h="16838" w:code="9"/>
          <w:pgMar w:top="2274" w:right="2274" w:bottom="2274" w:left="2274" w:header="1701" w:footer="720" w:gutter="0"/>
          <w:pgNumType w:start="1"/>
          <w:cols w:space="720"/>
          <w:titlePg/>
          <w:docGrid w:linePitch="326"/>
        </w:sectPr>
      </w:pPr>
    </w:p>
    <w:p w:rsidR="00A45023" w:rsidRPr="00685582" w:rsidRDefault="00A45023" w:rsidP="0068104D">
      <w:pPr>
        <w:pStyle w:val="JuCase"/>
        <w:rPr>
          <w:lang w:val="fr-FR"/>
        </w:rPr>
      </w:pPr>
      <w:r w:rsidRPr="00685582">
        <w:rPr>
          <w:lang w:val="fr-FR"/>
        </w:rPr>
        <w:t>En l</w:t>
      </w:r>
      <w:r>
        <w:rPr>
          <w:lang w:val="fr-FR"/>
        </w:rPr>
        <w:t>’</w:t>
      </w:r>
      <w:r w:rsidRPr="00685582">
        <w:rPr>
          <w:lang w:val="fr-FR"/>
        </w:rPr>
        <w:t xml:space="preserve">affaire </w:t>
      </w:r>
      <w:r>
        <w:rPr>
          <w:lang w:val="fr-FR"/>
        </w:rPr>
        <w:t>Caponetto c. Italie</w:t>
      </w:r>
      <w:r w:rsidRPr="00685582">
        <w:rPr>
          <w:lang w:val="fr-FR"/>
        </w:rPr>
        <w:t>,</w:t>
      </w:r>
    </w:p>
    <w:p w:rsidR="00A45023" w:rsidRPr="00685582" w:rsidRDefault="00A45023" w:rsidP="0068104D">
      <w:pPr>
        <w:pStyle w:val="ECHRPara"/>
      </w:pPr>
      <w:r w:rsidRPr="00685582">
        <w:t>La Cour européenne des droits de l</w:t>
      </w:r>
      <w:r>
        <w:t>’</w:t>
      </w:r>
      <w:r w:rsidRPr="00685582">
        <w:t>homme (</w:t>
      </w:r>
      <w:r>
        <w:t>deuxième section</w:t>
      </w:r>
      <w:r w:rsidRPr="00685582">
        <w:t>), siégeant en un comité composéde :</w:t>
      </w:r>
    </w:p>
    <w:p w:rsidR="00A45023" w:rsidRPr="00685582" w:rsidRDefault="00A45023" w:rsidP="0068104D">
      <w:pPr>
        <w:pStyle w:val="ECHRDecisionBody"/>
      </w:pPr>
      <w:r w:rsidRPr="00092905">
        <w:tab/>
        <w:t>AndrásSajó</w:t>
      </w:r>
      <w:r>
        <w:t>,</w:t>
      </w:r>
      <w:r w:rsidRPr="00092905">
        <w:rPr>
          <w:i/>
        </w:rPr>
        <w:t xml:space="preserve"> président,</w:t>
      </w:r>
      <w:r>
        <w:rPr>
          <w:i/>
        </w:rPr>
        <w:br/>
      </w:r>
      <w:r w:rsidRPr="00092905">
        <w:tab/>
        <w:t>HelenKeller</w:t>
      </w:r>
      <w:r>
        <w:t>,</w:t>
      </w:r>
      <w:r>
        <w:rPr>
          <w:i/>
        </w:rPr>
        <w:br/>
      </w:r>
      <w:r w:rsidRPr="00092905">
        <w:tab/>
        <w:t>EgidijusKūris</w:t>
      </w:r>
      <w:r>
        <w:t>,</w:t>
      </w:r>
      <w:r w:rsidRPr="00092905">
        <w:rPr>
          <w:i/>
        </w:rPr>
        <w:t xml:space="preserve"> juges,</w:t>
      </w:r>
      <w:r w:rsidRPr="00685582">
        <w:br/>
        <w:t>et de</w:t>
      </w:r>
      <w:r>
        <w:t xml:space="preserve"> Abel Campos</w:t>
      </w:r>
      <w:r w:rsidRPr="00685582">
        <w:t xml:space="preserve">, </w:t>
      </w:r>
      <w:r>
        <w:rPr>
          <w:i/>
        </w:rPr>
        <w:t>greffier adjoint</w:t>
      </w:r>
      <w:r w:rsidRPr="00685582">
        <w:rPr>
          <w:i/>
          <w:iCs/>
        </w:rPr>
        <w:t>d</w:t>
      </w:r>
      <w:r w:rsidRPr="00685582">
        <w:rPr>
          <w:i/>
        </w:rPr>
        <w:t>e section,</w:t>
      </w:r>
    </w:p>
    <w:p w:rsidR="00A45023" w:rsidRPr="00685582" w:rsidRDefault="00A45023" w:rsidP="0068104D">
      <w:pPr>
        <w:pStyle w:val="ECHRPara"/>
      </w:pPr>
      <w:r w:rsidRPr="00685582">
        <w:t xml:space="preserve">Après en avoir délibéré en chambre du conseil le </w:t>
      </w:r>
      <w:r>
        <w:t>15 avril 2014</w:t>
      </w:r>
      <w:r w:rsidRPr="00685582">
        <w:t>,</w:t>
      </w:r>
    </w:p>
    <w:p w:rsidR="00A45023" w:rsidRPr="00685582" w:rsidRDefault="00A45023" w:rsidP="0068104D">
      <w:pPr>
        <w:pStyle w:val="ECHRPara"/>
      </w:pPr>
      <w:r w:rsidRPr="00685582">
        <w:t>Rend l</w:t>
      </w:r>
      <w:r>
        <w:t>’</w:t>
      </w:r>
      <w:r w:rsidRPr="00685582">
        <w:t>arrêt que voici, adopté à cette date :</w:t>
      </w:r>
    </w:p>
    <w:p w:rsidR="00A45023" w:rsidRPr="00685582" w:rsidRDefault="00A45023" w:rsidP="00B33C50">
      <w:pPr>
        <w:pStyle w:val="ECHRTitle1"/>
      </w:pPr>
      <w:r w:rsidRPr="00685582">
        <w:t>PROCÉDURE</w:t>
      </w:r>
    </w:p>
    <w:p w:rsidR="00A45023" w:rsidRPr="00685582" w:rsidRDefault="00A45023" w:rsidP="00E90227">
      <w:pPr>
        <w:pStyle w:val="ECHRPara"/>
      </w:pPr>
      <w:fldSimple w:instr=" SEQ level0 \*arabic ">
        <w:r>
          <w:rPr>
            <w:noProof/>
          </w:rPr>
          <w:t>1</w:t>
        </w:r>
      </w:fldSimple>
      <w:r w:rsidRPr="00685582">
        <w:t>.  A l</w:t>
      </w:r>
      <w:r>
        <w:t>’</w:t>
      </w:r>
      <w:r w:rsidRPr="00685582">
        <w:t>origine de l</w:t>
      </w:r>
      <w:r>
        <w:t>’</w:t>
      </w:r>
      <w:r w:rsidRPr="00685582">
        <w:t>affaire se trouve une requête (n</w:t>
      </w:r>
      <w:r w:rsidRPr="00751658">
        <w:rPr>
          <w:vertAlign w:val="superscript"/>
        </w:rPr>
        <w:t>o</w:t>
      </w:r>
      <w:r>
        <w:t>61273/10</w:t>
      </w:r>
      <w:r w:rsidRPr="00685582">
        <w:t xml:space="preserve">) dirigée contre </w:t>
      </w:r>
      <w:r>
        <w:t>la République italienne</w:t>
      </w:r>
      <w:r w:rsidRPr="00685582">
        <w:t xml:space="preserve"> et dont une ressortissante </w:t>
      </w:r>
      <w:r w:rsidRPr="00463A7D">
        <w:t>de cet Etat</w:t>
      </w:r>
      <w:r>
        <w:t>,</w:t>
      </w:r>
      <w:r w:rsidRPr="00685582">
        <w:t xml:space="preserve"> M</w:t>
      </w:r>
      <w:r w:rsidRPr="00685582">
        <w:rPr>
          <w:vertAlign w:val="superscript"/>
        </w:rPr>
        <w:t>me</w:t>
      </w:r>
      <w:r>
        <w:t>RosaCaponetto</w:t>
      </w:r>
      <w:r w:rsidRPr="00685582">
        <w:t xml:space="preserve"> (« la requérante »), a saisi la Cour le </w:t>
      </w:r>
      <w:r>
        <w:t>5 août 2010</w:t>
      </w:r>
      <w:r w:rsidRPr="00685582">
        <w:t xml:space="preserve"> en vertu de l</w:t>
      </w:r>
      <w:r>
        <w:t>’</w:t>
      </w:r>
      <w:r w:rsidRPr="00685582">
        <w:t>article 34 de la Convention de sauvegarde des droits de l</w:t>
      </w:r>
      <w:r>
        <w:t>’</w:t>
      </w:r>
      <w:r w:rsidRPr="00685582">
        <w:t>homme et des libertés fondamentales (« la Convention »).</w:t>
      </w:r>
    </w:p>
    <w:p w:rsidR="00A45023" w:rsidRDefault="00A45023" w:rsidP="00FC739E">
      <w:pPr>
        <w:pStyle w:val="ECHRPara"/>
      </w:pPr>
      <w:fldSimple w:instr=" SEQ level0 \*arabic ">
        <w:r>
          <w:rPr>
            <w:noProof/>
          </w:rPr>
          <w:t>2</w:t>
        </w:r>
      </w:fldSimple>
      <w:r w:rsidRPr="00751658">
        <w:t>.  La requérante a été représentée par M</w:t>
      </w:r>
      <w:r w:rsidRPr="00751658">
        <w:rPr>
          <w:vertAlign w:val="superscript"/>
        </w:rPr>
        <w:t>e</w:t>
      </w:r>
      <w:r w:rsidRPr="00751658">
        <w:t> M. Nunziante, avocat</w:t>
      </w:r>
      <w:r w:rsidRPr="008B6085">
        <w:t xml:space="preserve"> à </w:t>
      </w:r>
      <w:r>
        <w:t>Naples</w:t>
      </w:r>
      <w:r w:rsidRPr="008B6085">
        <w:t xml:space="preserve">. Le gouvernement </w:t>
      </w:r>
      <w:r>
        <w:t>italien</w:t>
      </w:r>
      <w:r w:rsidRPr="008B6085">
        <w:t xml:space="preserve"> (« le Gouvernement ») a été représenté par son agent, </w:t>
      </w:r>
      <w:r w:rsidRPr="00434618">
        <w:t>M</w:t>
      </w:r>
      <w:r w:rsidRPr="00434618">
        <w:rPr>
          <w:vertAlign w:val="superscript"/>
        </w:rPr>
        <w:t>me</w:t>
      </w:r>
      <w:r w:rsidRPr="00434618">
        <w:t xml:space="preserve"> E. Spatafora</w:t>
      </w:r>
      <w:r>
        <w:t xml:space="preserve"> et son coagent, </w:t>
      </w:r>
      <w:r w:rsidRPr="00434618">
        <w:t>M</w:t>
      </w:r>
      <w:r w:rsidRPr="00434618">
        <w:rPr>
          <w:vertAlign w:val="superscript"/>
        </w:rPr>
        <w:t>me</w:t>
      </w:r>
      <w:r>
        <w:t xml:space="preserve"> P. Accardo.</w:t>
      </w:r>
    </w:p>
    <w:p w:rsidR="00A45023" w:rsidRPr="00685582" w:rsidRDefault="00A45023" w:rsidP="00A005A0">
      <w:pPr>
        <w:pStyle w:val="ECHRPara"/>
        <w:rPr>
          <w:szCs w:val="24"/>
          <w:lang w:eastAsia="en-GB"/>
        </w:rPr>
      </w:pPr>
      <w:fldSimple w:instr=" SEQ level0 \*arabic ">
        <w:r>
          <w:rPr>
            <w:noProof/>
          </w:rPr>
          <w:t>3</w:t>
        </w:r>
      </w:fldSimple>
      <w:r w:rsidRPr="00751658">
        <w:t>.  Le 23 août 2011, la requête a été communiquée au Gouvernement.</w:t>
      </w:r>
    </w:p>
    <w:p w:rsidR="00A45023" w:rsidRPr="00685582" w:rsidRDefault="00A45023" w:rsidP="00B33C50">
      <w:pPr>
        <w:pStyle w:val="ECHRTitle1"/>
        <w:tabs>
          <w:tab w:val="left" w:pos="5387"/>
        </w:tabs>
      </w:pPr>
      <w:r w:rsidRPr="00685582">
        <w:t>EN FAIT</w:t>
      </w:r>
    </w:p>
    <w:p w:rsidR="00A45023" w:rsidRPr="00685582" w:rsidRDefault="00A45023" w:rsidP="00B33C50">
      <w:pPr>
        <w:pStyle w:val="ECHRHeading1"/>
      </w:pPr>
      <w:r w:rsidRPr="00685582">
        <w:t>I.  LES CIRCONSTANCES DE L</w:t>
      </w:r>
      <w:r>
        <w:t>’</w:t>
      </w:r>
      <w:r w:rsidRPr="00685582">
        <w:t>ESPÈCE</w:t>
      </w:r>
    </w:p>
    <w:p w:rsidR="00A45023" w:rsidRPr="00685582" w:rsidRDefault="00A45023" w:rsidP="007E34C8">
      <w:pPr>
        <w:pStyle w:val="ECHRPara"/>
      </w:pPr>
      <w:fldSimple w:instr=" SEQ level0 \*arabic ">
        <w:r>
          <w:rPr>
            <w:noProof/>
          </w:rPr>
          <w:t>4</w:t>
        </w:r>
      </w:fldSimple>
      <w:r w:rsidRPr="00685582">
        <w:t xml:space="preserve">.  La requérante est née en </w:t>
      </w:r>
      <w:r>
        <w:t>1944</w:t>
      </w:r>
      <w:r w:rsidRPr="00685582">
        <w:t xml:space="preserve"> et réside à </w:t>
      </w:r>
      <w:r>
        <w:t>Casoria</w:t>
      </w:r>
      <w:r w:rsidRPr="00685582">
        <w:t>.</w:t>
      </w:r>
    </w:p>
    <w:p w:rsidR="00A45023" w:rsidRPr="00751658" w:rsidRDefault="00A45023" w:rsidP="00751658">
      <w:pPr>
        <w:suppressAutoHyphens/>
        <w:ind w:firstLine="284"/>
        <w:rPr>
          <w:rFonts w:cs="Arial"/>
          <w:szCs w:val="24"/>
          <w:lang w:val="fr-FR" w:eastAsia="fr-FR"/>
        </w:rPr>
      </w:pPr>
      <w:r>
        <w:rPr>
          <w:rFonts w:cs="Arial"/>
          <w:szCs w:val="24"/>
          <w:lang w:val="fr-FR" w:eastAsia="fr-FR"/>
        </w:rPr>
        <w:fldChar w:fldCharType="begin"/>
      </w:r>
      <w:r>
        <w:rPr>
          <w:rFonts w:cs="Arial"/>
          <w:szCs w:val="24"/>
          <w:lang w:val="fr-FR" w:eastAsia="fr-FR"/>
        </w:rPr>
        <w:instrText xml:space="preserve"> SEQ level0 \*arabic </w:instrText>
      </w:r>
      <w:r>
        <w:rPr>
          <w:rFonts w:cs="Arial"/>
          <w:szCs w:val="24"/>
          <w:lang w:val="fr-FR" w:eastAsia="fr-FR"/>
        </w:rPr>
        <w:fldChar w:fldCharType="separate"/>
      </w:r>
      <w:r>
        <w:rPr>
          <w:rFonts w:cs="Arial"/>
          <w:noProof/>
          <w:szCs w:val="24"/>
          <w:lang w:val="fr-FR" w:eastAsia="fr-FR"/>
        </w:rPr>
        <w:t>5</w:t>
      </w:r>
      <w:r>
        <w:rPr>
          <w:rFonts w:cs="Arial"/>
          <w:szCs w:val="24"/>
          <w:lang w:val="fr-FR" w:eastAsia="fr-FR"/>
        </w:rPr>
        <w:fldChar w:fldCharType="end"/>
      </w:r>
      <w:r>
        <w:rPr>
          <w:rFonts w:cs="Arial"/>
          <w:szCs w:val="24"/>
          <w:lang w:val="fr-FR" w:eastAsia="fr-FR"/>
        </w:rPr>
        <w:t>.  </w:t>
      </w:r>
      <w:r w:rsidRPr="00751658">
        <w:rPr>
          <w:rFonts w:cs="Arial"/>
          <w:szCs w:val="24"/>
          <w:lang w:val="fr-FR" w:eastAsia="fr-FR"/>
        </w:rPr>
        <w:t>A l</w:t>
      </w:r>
      <w:r>
        <w:rPr>
          <w:rFonts w:cs="Arial"/>
          <w:szCs w:val="24"/>
          <w:lang w:val="fr-FR" w:eastAsia="fr-FR"/>
        </w:rPr>
        <w:t>’</w:t>
      </w:r>
      <w:r w:rsidRPr="00751658">
        <w:rPr>
          <w:rFonts w:cs="Arial"/>
          <w:szCs w:val="24"/>
          <w:lang w:val="fr-FR" w:eastAsia="fr-FR"/>
        </w:rPr>
        <w:t xml:space="preserve">origine, </w:t>
      </w:r>
      <w:r>
        <w:rPr>
          <w:rFonts w:cs="Arial"/>
          <w:szCs w:val="24"/>
          <w:lang w:val="fr-FR" w:eastAsia="fr-FR"/>
        </w:rPr>
        <w:t>la requérante étaitemployée</w:t>
      </w:r>
      <w:r w:rsidRPr="00751658">
        <w:rPr>
          <w:rFonts w:cs="Arial"/>
          <w:szCs w:val="24"/>
          <w:lang w:val="fr-FR" w:eastAsia="fr-FR"/>
        </w:rPr>
        <w:t xml:space="preserve"> par l</w:t>
      </w:r>
      <w:r>
        <w:rPr>
          <w:rFonts w:cs="Arial"/>
          <w:szCs w:val="24"/>
          <w:lang w:val="fr-FR" w:eastAsia="fr-FR"/>
        </w:rPr>
        <w:t>e</w:t>
      </w:r>
      <w:r w:rsidRPr="00751658">
        <w:rPr>
          <w:rFonts w:cs="Arial"/>
          <w:szCs w:val="24"/>
          <w:lang w:val="fr-FR" w:eastAsia="fr-FR"/>
        </w:rPr>
        <w:t xml:space="preserve"> Province de </w:t>
      </w:r>
      <w:r>
        <w:rPr>
          <w:rFonts w:cs="Arial"/>
          <w:szCs w:val="24"/>
          <w:lang w:val="fr-FR" w:eastAsia="fr-FR"/>
        </w:rPr>
        <w:t>Naples et exerçait d</w:t>
      </w:r>
      <w:r w:rsidRPr="00751658">
        <w:rPr>
          <w:rFonts w:cs="Arial"/>
          <w:szCs w:val="24"/>
          <w:lang w:val="fr-FR" w:eastAsia="fr-FR"/>
        </w:rPr>
        <w:t xml:space="preserve">es fonctions </w:t>
      </w:r>
      <w:r>
        <w:rPr>
          <w:rFonts w:cs="Arial"/>
          <w:szCs w:val="24"/>
          <w:lang w:val="fr-FR" w:eastAsia="fr-FR"/>
        </w:rPr>
        <w:t>relevant du personnel des écoles (</w:t>
      </w:r>
      <w:r w:rsidRPr="00751658">
        <w:rPr>
          <w:rFonts w:cs="Arial"/>
          <w:szCs w:val="24"/>
          <w:lang w:val="fr-FR" w:eastAsia="fr-FR"/>
        </w:rPr>
        <w:t xml:space="preserve">assistants administratifs, collaborateurs, assistants techniques et responsables </w:t>
      </w:r>
      <w:r>
        <w:rPr>
          <w:rFonts w:cs="Arial"/>
          <w:szCs w:val="24"/>
          <w:lang w:val="fr-FR" w:eastAsia="fr-FR"/>
        </w:rPr>
        <w:t xml:space="preserve">administratifs dans les écoles : </w:t>
      </w:r>
      <w:r w:rsidRPr="00751658">
        <w:rPr>
          <w:rFonts w:cs="Arial"/>
          <w:szCs w:val="24"/>
          <w:lang w:val="fr-FR" w:eastAsia="fr-FR"/>
        </w:rPr>
        <w:t xml:space="preserve">le « personnel ATA »). </w:t>
      </w:r>
      <w:r>
        <w:rPr>
          <w:rFonts w:cs="Arial"/>
          <w:szCs w:val="24"/>
          <w:lang w:val="fr-FR" w:eastAsia="fr-FR"/>
        </w:rPr>
        <w:t>Elle avait</w:t>
      </w:r>
      <w:r w:rsidRPr="00751658">
        <w:rPr>
          <w:rFonts w:cs="Arial"/>
          <w:szCs w:val="24"/>
          <w:lang w:val="fr-FR" w:eastAsia="fr-FR"/>
        </w:rPr>
        <w:t xml:space="preserve"> droit à un salaire de base complété par des indemnités accessoires.</w:t>
      </w:r>
    </w:p>
    <w:p w:rsidR="00A45023" w:rsidRPr="00751658" w:rsidRDefault="00A45023" w:rsidP="00751658">
      <w:pPr>
        <w:suppressAutoHyphens/>
        <w:ind w:firstLine="284"/>
        <w:rPr>
          <w:rFonts w:cs="Arial"/>
          <w:bCs/>
          <w:szCs w:val="24"/>
          <w:shd w:val="clear" w:color="auto" w:fill="A0FFFF"/>
          <w:lang w:val="fr-FR" w:eastAsia="fr-FR"/>
        </w:rPr>
      </w:pPr>
      <w:r>
        <w:rPr>
          <w:rFonts w:cs="Arial"/>
          <w:szCs w:val="24"/>
          <w:lang w:val="fr-FR" w:eastAsia="fr-FR"/>
        </w:rPr>
        <w:fldChar w:fldCharType="begin"/>
      </w:r>
      <w:r>
        <w:rPr>
          <w:rFonts w:cs="Arial"/>
          <w:szCs w:val="24"/>
          <w:lang w:val="fr-FR" w:eastAsia="fr-FR"/>
        </w:rPr>
        <w:instrText xml:space="preserve"> SEQ level0 \*arabic </w:instrText>
      </w:r>
      <w:r>
        <w:rPr>
          <w:rFonts w:cs="Arial"/>
          <w:szCs w:val="24"/>
          <w:lang w:val="fr-FR" w:eastAsia="fr-FR"/>
        </w:rPr>
        <w:fldChar w:fldCharType="separate"/>
      </w:r>
      <w:r>
        <w:rPr>
          <w:rFonts w:cs="Arial"/>
          <w:noProof/>
          <w:szCs w:val="24"/>
          <w:lang w:val="fr-FR" w:eastAsia="fr-FR"/>
        </w:rPr>
        <w:t>6</w:t>
      </w:r>
      <w:r>
        <w:rPr>
          <w:rFonts w:cs="Arial"/>
          <w:szCs w:val="24"/>
          <w:lang w:val="fr-FR" w:eastAsia="fr-FR"/>
        </w:rPr>
        <w:fldChar w:fldCharType="end"/>
      </w:r>
      <w:r>
        <w:rPr>
          <w:rFonts w:cs="Arial"/>
          <w:szCs w:val="24"/>
          <w:lang w:val="fr-FR" w:eastAsia="fr-FR"/>
        </w:rPr>
        <w:t>.  </w:t>
      </w:r>
      <w:r w:rsidRPr="00751658">
        <w:rPr>
          <w:rFonts w:cs="Arial"/>
          <w:szCs w:val="24"/>
          <w:lang w:val="fr-FR" w:eastAsia="fr-FR"/>
        </w:rPr>
        <w:t>Suite au transfert du personnel de la fonction publique territoriale vers la fonction publique de l</w:t>
      </w:r>
      <w:r>
        <w:rPr>
          <w:rFonts w:cs="Arial"/>
          <w:szCs w:val="24"/>
          <w:lang w:val="fr-FR" w:eastAsia="fr-FR"/>
        </w:rPr>
        <w:t>’</w:t>
      </w:r>
      <w:r w:rsidRPr="00751658">
        <w:rPr>
          <w:rFonts w:cs="Arial"/>
          <w:szCs w:val="24"/>
          <w:lang w:val="fr-FR" w:eastAsia="fr-FR"/>
        </w:rPr>
        <w:t>Etat, prévu par la loi n</w:t>
      </w:r>
      <w:r w:rsidRPr="00751658">
        <w:rPr>
          <w:rFonts w:cs="Arial"/>
          <w:szCs w:val="24"/>
          <w:vertAlign w:val="superscript"/>
          <w:lang w:val="fr-FR" w:eastAsia="fr-FR"/>
        </w:rPr>
        <w:t xml:space="preserve">o </w:t>
      </w:r>
      <w:r w:rsidRPr="00751658">
        <w:rPr>
          <w:rFonts w:cs="Arial"/>
          <w:szCs w:val="24"/>
          <w:lang w:val="fr-FR" w:eastAsia="fr-FR"/>
        </w:rPr>
        <w:t xml:space="preserve">124 du 3 mai 1999, </w:t>
      </w:r>
      <w:r>
        <w:rPr>
          <w:rFonts w:cs="Arial"/>
          <w:szCs w:val="24"/>
          <w:lang w:val="fr-FR" w:eastAsia="fr-FR"/>
        </w:rPr>
        <w:t>la requérante fut</w:t>
      </w:r>
      <w:r w:rsidRPr="00751658">
        <w:rPr>
          <w:rFonts w:cs="Arial"/>
          <w:szCs w:val="24"/>
          <w:lang w:val="fr-FR" w:eastAsia="fr-FR"/>
        </w:rPr>
        <w:t xml:space="preserve"> employé</w:t>
      </w:r>
      <w:r>
        <w:rPr>
          <w:rFonts w:cs="Arial"/>
          <w:szCs w:val="24"/>
          <w:lang w:val="fr-FR" w:eastAsia="fr-FR"/>
        </w:rPr>
        <w:t>e</w:t>
      </w:r>
      <w:r w:rsidRPr="00751658">
        <w:rPr>
          <w:rFonts w:cs="Arial"/>
          <w:szCs w:val="24"/>
          <w:lang w:val="fr-FR" w:eastAsia="fr-FR"/>
        </w:rPr>
        <w:t>, à partir du 31 décembre 1999, par le ministère de l</w:t>
      </w:r>
      <w:r>
        <w:rPr>
          <w:rFonts w:cs="Arial"/>
          <w:szCs w:val="24"/>
          <w:lang w:val="fr-FR" w:eastAsia="fr-FR"/>
        </w:rPr>
        <w:t>’</w:t>
      </w:r>
      <w:r w:rsidRPr="00751658">
        <w:rPr>
          <w:rFonts w:cs="Arial"/>
          <w:szCs w:val="24"/>
          <w:lang w:val="fr-FR" w:eastAsia="fr-FR"/>
        </w:rPr>
        <w:t>Education nationale. Les employés dudit ministère exerçant les mêmes fonctions que les requérants avaient droit à un traitement de base progressif selon l</w:t>
      </w:r>
      <w:r>
        <w:rPr>
          <w:rFonts w:cs="Arial"/>
          <w:szCs w:val="24"/>
          <w:lang w:val="fr-FR" w:eastAsia="fr-FR"/>
        </w:rPr>
        <w:t>’</w:t>
      </w:r>
      <w:r w:rsidRPr="00751658">
        <w:rPr>
          <w:rFonts w:cs="Arial"/>
          <w:szCs w:val="24"/>
          <w:lang w:val="fr-FR" w:eastAsia="fr-FR"/>
        </w:rPr>
        <w:t>ancienneté de service.</w:t>
      </w:r>
    </w:p>
    <w:p w:rsidR="00A45023" w:rsidRPr="00751658" w:rsidRDefault="00A45023" w:rsidP="00751658">
      <w:pPr>
        <w:suppressAutoHyphens/>
        <w:ind w:firstLine="284"/>
        <w:rPr>
          <w:szCs w:val="20"/>
          <w:lang w:val="fr-FR" w:eastAsia="fr-FR"/>
        </w:rPr>
      </w:pPr>
      <w:r>
        <w:rPr>
          <w:szCs w:val="20"/>
          <w:lang w:val="fr-FR" w:eastAsia="fr-FR"/>
        </w:rPr>
        <w:fldChar w:fldCharType="begin"/>
      </w:r>
      <w:r>
        <w:rPr>
          <w:szCs w:val="20"/>
          <w:lang w:val="fr-FR" w:eastAsia="fr-FR"/>
        </w:rPr>
        <w:instrText xml:space="preserve"> SEQ level0 \*arabic </w:instrText>
      </w:r>
      <w:r>
        <w:rPr>
          <w:szCs w:val="20"/>
          <w:lang w:val="fr-FR" w:eastAsia="fr-FR"/>
        </w:rPr>
        <w:fldChar w:fldCharType="separate"/>
      </w:r>
      <w:r>
        <w:rPr>
          <w:noProof/>
          <w:szCs w:val="20"/>
          <w:lang w:val="fr-FR" w:eastAsia="fr-FR"/>
        </w:rPr>
        <w:t>7</w:t>
      </w:r>
      <w:r>
        <w:rPr>
          <w:szCs w:val="20"/>
          <w:lang w:val="fr-FR" w:eastAsia="fr-FR"/>
        </w:rPr>
        <w:fldChar w:fldCharType="end"/>
      </w:r>
      <w:r>
        <w:rPr>
          <w:szCs w:val="20"/>
          <w:lang w:val="fr-FR" w:eastAsia="fr-FR"/>
        </w:rPr>
        <w:t>.  </w:t>
      </w:r>
      <w:r w:rsidRPr="00751658">
        <w:rPr>
          <w:szCs w:val="20"/>
          <w:lang w:val="fr-FR" w:eastAsia="fr-FR"/>
        </w:rPr>
        <w:t>Selon l</w:t>
      </w:r>
      <w:r>
        <w:rPr>
          <w:szCs w:val="20"/>
          <w:lang w:val="fr-FR" w:eastAsia="fr-FR"/>
        </w:rPr>
        <w:t>’</w:t>
      </w:r>
      <w:r w:rsidRPr="00751658">
        <w:rPr>
          <w:szCs w:val="20"/>
          <w:lang w:val="fr-FR" w:eastAsia="fr-FR"/>
        </w:rPr>
        <w:t>article 8 de la loi n</w:t>
      </w:r>
      <w:r w:rsidRPr="00751658">
        <w:rPr>
          <w:szCs w:val="20"/>
          <w:vertAlign w:val="superscript"/>
          <w:lang w:val="fr-FR" w:eastAsia="fr-FR"/>
        </w:rPr>
        <w:t>o</w:t>
      </w:r>
      <w:r w:rsidRPr="00751658">
        <w:rPr>
          <w:szCs w:val="20"/>
          <w:lang w:val="fr-FR" w:eastAsia="fr-FR"/>
        </w:rPr>
        <w:t xml:space="preserve"> 124 du 3 mai 1999,</w:t>
      </w:r>
      <w:r w:rsidRPr="00751658">
        <w:rPr>
          <w:rFonts w:cs="Arial"/>
          <w:bCs/>
          <w:color w:val="000000"/>
          <w:szCs w:val="24"/>
          <w:lang w:val="fr-FR" w:eastAsia="fr-FR"/>
        </w:rPr>
        <w:t xml:space="preserve"> l</w:t>
      </w:r>
      <w:r>
        <w:rPr>
          <w:rFonts w:cs="Arial"/>
          <w:bCs/>
          <w:color w:val="000000"/>
          <w:szCs w:val="24"/>
          <w:lang w:val="fr-FR" w:eastAsia="fr-FR"/>
        </w:rPr>
        <w:t>’</w:t>
      </w:r>
      <w:r w:rsidRPr="00751658">
        <w:rPr>
          <w:rFonts w:cs="Arial"/>
          <w:bCs/>
          <w:color w:val="000000"/>
          <w:szCs w:val="24"/>
          <w:lang w:val="fr-FR" w:eastAsia="fr-FR"/>
        </w:rPr>
        <w:t xml:space="preserve">ancienneté </w:t>
      </w:r>
      <w:r w:rsidRPr="00751658">
        <w:rPr>
          <w:szCs w:val="20"/>
          <w:lang w:val="fr-FR" w:eastAsia="fr-FR"/>
        </w:rPr>
        <w:t xml:space="preserve">de service </w:t>
      </w:r>
      <w:r w:rsidRPr="00751658">
        <w:rPr>
          <w:rFonts w:cs="Arial"/>
          <w:bCs/>
          <w:color w:val="000000"/>
          <w:szCs w:val="24"/>
          <w:lang w:val="fr-FR" w:eastAsia="fr-FR"/>
        </w:rPr>
        <w:t>obtenue</w:t>
      </w:r>
      <w:r w:rsidRPr="00751658">
        <w:rPr>
          <w:szCs w:val="20"/>
          <w:lang w:val="fr-FR" w:eastAsia="fr-FR"/>
        </w:rPr>
        <w:t xml:space="preserve"> par </w:t>
      </w:r>
      <w:r>
        <w:rPr>
          <w:szCs w:val="20"/>
          <w:lang w:val="fr-FR" w:eastAsia="fr-FR"/>
        </w:rPr>
        <w:t>la requérante</w:t>
      </w:r>
      <w:r w:rsidRPr="00751658">
        <w:rPr>
          <w:szCs w:val="20"/>
          <w:lang w:val="fr-FR" w:eastAsia="fr-FR"/>
        </w:rPr>
        <w:t xml:space="preserve"> auprès de l</w:t>
      </w:r>
      <w:r>
        <w:rPr>
          <w:szCs w:val="20"/>
          <w:lang w:val="fr-FR" w:eastAsia="fr-FR"/>
        </w:rPr>
        <w:t>’</w:t>
      </w:r>
      <w:r w:rsidRPr="00751658">
        <w:rPr>
          <w:szCs w:val="20"/>
          <w:lang w:val="fr-FR" w:eastAsia="fr-FR"/>
        </w:rPr>
        <w:t>autorité locale d</w:t>
      </w:r>
      <w:r>
        <w:rPr>
          <w:szCs w:val="20"/>
          <w:lang w:val="fr-FR" w:eastAsia="fr-FR"/>
        </w:rPr>
        <w:t>’</w:t>
      </w:r>
      <w:r w:rsidRPr="00751658">
        <w:rPr>
          <w:szCs w:val="20"/>
          <w:lang w:val="fr-FR" w:eastAsia="fr-FR"/>
        </w:rPr>
        <w:t xml:space="preserve">origine était reconnue à toutes fins juridiques et économiques. </w:t>
      </w:r>
      <w:r w:rsidRPr="00751658">
        <w:rPr>
          <w:rFonts w:cs="Arial"/>
          <w:bCs/>
          <w:color w:val="000000"/>
          <w:szCs w:val="24"/>
          <w:lang w:val="fr-FR" w:eastAsia="fr-FR"/>
        </w:rPr>
        <w:t>Toutefois</w:t>
      </w:r>
      <w:r w:rsidRPr="00751658">
        <w:rPr>
          <w:rFonts w:cs="Arial"/>
          <w:bCs/>
          <w:szCs w:val="24"/>
          <w:lang w:val="fr-FR" w:eastAsia="fr-FR"/>
        </w:rPr>
        <w:t xml:space="preserve">, </w:t>
      </w:r>
      <w:r w:rsidRPr="00751658">
        <w:rPr>
          <w:szCs w:val="20"/>
          <w:lang w:val="fr-FR" w:eastAsia="fr-FR"/>
        </w:rPr>
        <w:t>le ministère, sans tenir aucun compte de l</w:t>
      </w:r>
      <w:r>
        <w:rPr>
          <w:szCs w:val="20"/>
          <w:lang w:val="fr-FR" w:eastAsia="fr-FR"/>
        </w:rPr>
        <w:t>’</w:t>
      </w:r>
      <w:r w:rsidRPr="00751658">
        <w:rPr>
          <w:szCs w:val="20"/>
          <w:lang w:val="fr-FR" w:eastAsia="fr-FR"/>
        </w:rPr>
        <w:t>ancienneté acquise par les travailleurs au service des collectivités locales jusqu</w:t>
      </w:r>
      <w:r>
        <w:rPr>
          <w:szCs w:val="20"/>
          <w:lang w:val="fr-FR" w:eastAsia="fr-FR"/>
        </w:rPr>
        <w:t>’</w:t>
      </w:r>
      <w:r w:rsidRPr="00751658">
        <w:rPr>
          <w:szCs w:val="20"/>
          <w:lang w:val="fr-FR" w:eastAsia="fr-FR"/>
        </w:rPr>
        <w:t>au 31 décembre 1999 et donc sans calculer le traitement financier sur la base de cette ancienneté, comme l</w:t>
      </w:r>
      <w:r>
        <w:rPr>
          <w:szCs w:val="20"/>
          <w:lang w:val="fr-FR" w:eastAsia="fr-FR"/>
        </w:rPr>
        <w:t>’</w:t>
      </w:r>
      <w:r w:rsidRPr="00751658">
        <w:rPr>
          <w:szCs w:val="20"/>
          <w:lang w:val="fr-FR" w:eastAsia="fr-FR"/>
        </w:rPr>
        <w:t>imposait la convention collective nationale de l</w:t>
      </w:r>
      <w:r>
        <w:rPr>
          <w:szCs w:val="20"/>
          <w:lang w:val="fr-FR" w:eastAsia="fr-FR"/>
        </w:rPr>
        <w:t>’</w:t>
      </w:r>
      <w:r w:rsidRPr="00751658">
        <w:rPr>
          <w:szCs w:val="20"/>
          <w:lang w:val="fr-FR" w:eastAsia="fr-FR"/>
        </w:rPr>
        <w:t xml:space="preserve">Ecole, attribua </w:t>
      </w:r>
      <w:r>
        <w:rPr>
          <w:szCs w:val="20"/>
          <w:lang w:val="fr-FR" w:eastAsia="fr-FR"/>
        </w:rPr>
        <w:t xml:space="preserve">à la </w:t>
      </w:r>
      <w:r w:rsidRPr="00751658">
        <w:rPr>
          <w:szCs w:val="20"/>
          <w:lang w:val="fr-FR" w:eastAsia="fr-FR"/>
        </w:rPr>
        <w:t>requérant</w:t>
      </w:r>
      <w:r>
        <w:rPr>
          <w:szCs w:val="20"/>
          <w:lang w:val="fr-FR" w:eastAsia="fr-FR"/>
        </w:rPr>
        <w:t>e</w:t>
      </w:r>
      <w:r w:rsidRPr="00751658">
        <w:rPr>
          <w:szCs w:val="20"/>
          <w:lang w:val="fr-FR" w:eastAsia="fr-FR"/>
        </w:rPr>
        <w:t>une ancienneté fictive en transformant la rétribution perçue auprès des collectivités locales à la date du 31 décembre 1999 en années d</w:t>
      </w:r>
      <w:r>
        <w:rPr>
          <w:szCs w:val="20"/>
          <w:lang w:val="fr-FR" w:eastAsia="fr-FR"/>
        </w:rPr>
        <w:t>’</w:t>
      </w:r>
      <w:r w:rsidRPr="00751658">
        <w:rPr>
          <w:szCs w:val="20"/>
          <w:lang w:val="fr-FR" w:eastAsia="fr-FR"/>
        </w:rPr>
        <w:t xml:space="preserve">ancienneté. </w:t>
      </w:r>
      <w:r w:rsidRPr="003B0E2E">
        <w:rPr>
          <w:szCs w:val="20"/>
          <w:lang w:val="fr-FR" w:eastAsia="fr-FR"/>
        </w:rPr>
        <w:t>En outre, en transformant la rétribution de base en années d</w:t>
      </w:r>
      <w:r>
        <w:rPr>
          <w:szCs w:val="20"/>
          <w:lang w:val="fr-FR" w:eastAsia="fr-FR"/>
        </w:rPr>
        <w:t>’</w:t>
      </w:r>
      <w:r w:rsidRPr="003B0E2E">
        <w:rPr>
          <w:szCs w:val="20"/>
          <w:lang w:val="fr-FR" w:eastAsia="fr-FR"/>
        </w:rPr>
        <w:t>ancienneté fictive, le ministère enleva des dernières fiches de paie des requérants tous les éléments indemnitaires dont leurs salaires étaient régulièrement assortis jusqu</w:t>
      </w:r>
      <w:r>
        <w:rPr>
          <w:szCs w:val="20"/>
          <w:lang w:val="fr-FR" w:eastAsia="fr-FR"/>
        </w:rPr>
        <w:t>’</w:t>
      </w:r>
      <w:r w:rsidRPr="003B0E2E">
        <w:rPr>
          <w:szCs w:val="20"/>
          <w:lang w:val="fr-FR" w:eastAsia="fr-FR"/>
        </w:rPr>
        <w:t>au 31  décembre 1999</w:t>
      </w:r>
      <w:r w:rsidRPr="00751658">
        <w:rPr>
          <w:szCs w:val="20"/>
          <w:lang w:val="fr-FR" w:eastAsia="fr-FR"/>
        </w:rPr>
        <w:t>.</w:t>
      </w:r>
    </w:p>
    <w:p w:rsidR="00A45023" w:rsidRPr="00751658" w:rsidRDefault="00A45023" w:rsidP="00751658">
      <w:pPr>
        <w:pStyle w:val="ECHRPara"/>
      </w:pPr>
      <w:fldSimple w:instr=" SEQ level0 \*arabic ">
        <w:r>
          <w:rPr>
            <w:noProof/>
          </w:rPr>
          <w:t>8</w:t>
        </w:r>
      </w:fldSimple>
      <w:r w:rsidRPr="00751658">
        <w:t>.  </w:t>
      </w:r>
      <w:r>
        <w:rPr>
          <w:bCs/>
        </w:rPr>
        <w:t xml:space="preserve">A une date non précisée, la requérante saisit le tribunal de Naples </w:t>
      </w:r>
      <w:r w:rsidRPr="00751658">
        <w:t>afin d</w:t>
      </w:r>
      <w:r>
        <w:t>’</w:t>
      </w:r>
      <w:r w:rsidRPr="00751658">
        <w:t>obtenir la reconnaissance juridique et économique de l</w:t>
      </w:r>
      <w:r>
        <w:t>’</w:t>
      </w:r>
      <w:r w:rsidRPr="00751658">
        <w:t xml:space="preserve">ancienneté acquise auprès de </w:t>
      </w:r>
      <w:r>
        <w:t>son employeur local</w:t>
      </w:r>
      <w:r w:rsidRPr="00751658">
        <w:t xml:space="preserve"> d</w:t>
      </w:r>
      <w:r>
        <w:t>’</w:t>
      </w:r>
      <w:r w:rsidRPr="00751658">
        <w:t>origine et, en conséquence, le versement de la différence de rétribution née à partir du 1</w:t>
      </w:r>
      <w:r w:rsidRPr="00751658">
        <w:rPr>
          <w:vertAlign w:val="superscript"/>
        </w:rPr>
        <w:t>er</w:t>
      </w:r>
      <w:r w:rsidRPr="00751658">
        <w:t xml:space="preserve"> janvier 2000. </w:t>
      </w:r>
      <w:r>
        <w:t>Elle fit</w:t>
      </w:r>
      <w:r w:rsidRPr="00751658">
        <w:t xml:space="preserve"> valoir </w:t>
      </w:r>
      <w:r>
        <w:t>qu’elle percevait</w:t>
      </w:r>
      <w:r w:rsidRPr="00751658">
        <w:t xml:space="preserve"> un salaire qui ne correspondait pas à </w:t>
      </w:r>
      <w:r>
        <w:t xml:space="preserve">son </w:t>
      </w:r>
      <w:r w:rsidRPr="00751658">
        <w:t>ancienneté et que ce salaire était ainsi inférieur à celui des fonctionnaires qui avaient toujours été employés par le ministère.</w:t>
      </w:r>
    </w:p>
    <w:p w:rsidR="00A45023" w:rsidRPr="00751658" w:rsidRDefault="00A45023" w:rsidP="00751658">
      <w:pPr>
        <w:suppressAutoHyphens/>
        <w:ind w:firstLine="284"/>
        <w:rPr>
          <w:szCs w:val="20"/>
          <w:lang w:val="fr-FR" w:eastAsia="fr-FR"/>
        </w:rPr>
      </w:pPr>
      <w:r>
        <w:rPr>
          <w:szCs w:val="20"/>
          <w:lang w:val="fr-FR" w:eastAsia="fr-FR"/>
        </w:rPr>
        <w:fldChar w:fldCharType="begin"/>
      </w:r>
      <w:r>
        <w:rPr>
          <w:szCs w:val="20"/>
          <w:lang w:val="fr-FR" w:eastAsia="fr-FR"/>
        </w:rPr>
        <w:instrText xml:space="preserve"> SEQ level0 \*arabic </w:instrText>
      </w:r>
      <w:r>
        <w:rPr>
          <w:szCs w:val="20"/>
          <w:lang w:val="fr-FR" w:eastAsia="fr-FR"/>
        </w:rPr>
        <w:fldChar w:fldCharType="separate"/>
      </w:r>
      <w:r>
        <w:rPr>
          <w:noProof/>
          <w:szCs w:val="20"/>
          <w:lang w:val="fr-FR" w:eastAsia="fr-FR"/>
        </w:rPr>
        <w:t>9</w:t>
      </w:r>
      <w:r>
        <w:rPr>
          <w:szCs w:val="20"/>
          <w:lang w:val="fr-FR" w:eastAsia="fr-FR"/>
        </w:rPr>
        <w:fldChar w:fldCharType="end"/>
      </w:r>
      <w:r>
        <w:rPr>
          <w:szCs w:val="20"/>
          <w:lang w:val="fr-FR" w:eastAsia="fr-FR"/>
        </w:rPr>
        <w:t>.  </w:t>
      </w:r>
      <w:r w:rsidRPr="00751658">
        <w:rPr>
          <w:szCs w:val="20"/>
          <w:lang w:val="fr-FR" w:eastAsia="fr-FR"/>
        </w:rPr>
        <w:t>Par un arrêt du 20 juillet 2005, le tribunal du travail de Naples accueillit le recours de la requérante et condamna le ministère à reconnaître l</w:t>
      </w:r>
      <w:r>
        <w:rPr>
          <w:szCs w:val="20"/>
          <w:lang w:val="fr-FR" w:eastAsia="fr-FR"/>
        </w:rPr>
        <w:t>’</w:t>
      </w:r>
      <w:r w:rsidRPr="00751658">
        <w:rPr>
          <w:szCs w:val="20"/>
          <w:lang w:val="fr-FR" w:eastAsia="fr-FR"/>
        </w:rPr>
        <w:t>ancienneté acquise par la requérante auprès de l</w:t>
      </w:r>
      <w:r>
        <w:rPr>
          <w:szCs w:val="20"/>
          <w:lang w:val="fr-FR" w:eastAsia="fr-FR"/>
        </w:rPr>
        <w:t>’</w:t>
      </w:r>
      <w:r w:rsidRPr="00751658">
        <w:rPr>
          <w:szCs w:val="20"/>
          <w:lang w:val="fr-FR" w:eastAsia="fr-FR"/>
        </w:rPr>
        <w:t>autorité locale.</w:t>
      </w:r>
    </w:p>
    <w:p w:rsidR="00A45023" w:rsidRPr="00751658" w:rsidRDefault="00A45023" w:rsidP="00751658">
      <w:pPr>
        <w:suppressAutoHyphens/>
        <w:ind w:firstLine="284"/>
        <w:rPr>
          <w:szCs w:val="20"/>
          <w:lang w:val="fr-FR" w:eastAsia="fr-FR"/>
        </w:rPr>
      </w:pPr>
      <w:r>
        <w:rPr>
          <w:szCs w:val="20"/>
          <w:lang w:val="fr-FR" w:eastAsia="fr-FR"/>
        </w:rPr>
        <w:fldChar w:fldCharType="begin"/>
      </w:r>
      <w:r>
        <w:rPr>
          <w:szCs w:val="20"/>
          <w:lang w:val="fr-FR" w:eastAsia="fr-FR"/>
        </w:rPr>
        <w:instrText xml:space="preserve"> SEQ level0 \*arabic </w:instrText>
      </w:r>
      <w:r>
        <w:rPr>
          <w:szCs w:val="20"/>
          <w:lang w:val="fr-FR" w:eastAsia="fr-FR"/>
        </w:rPr>
        <w:fldChar w:fldCharType="separate"/>
      </w:r>
      <w:r>
        <w:rPr>
          <w:noProof/>
          <w:szCs w:val="20"/>
          <w:lang w:val="fr-FR" w:eastAsia="fr-FR"/>
        </w:rPr>
        <w:t>10</w:t>
      </w:r>
      <w:r>
        <w:rPr>
          <w:szCs w:val="20"/>
          <w:lang w:val="fr-FR" w:eastAsia="fr-FR"/>
        </w:rPr>
        <w:fldChar w:fldCharType="end"/>
      </w:r>
      <w:r>
        <w:rPr>
          <w:szCs w:val="20"/>
          <w:lang w:val="fr-FR" w:eastAsia="fr-FR"/>
        </w:rPr>
        <w:t>.  </w:t>
      </w:r>
      <w:r w:rsidRPr="00751658">
        <w:rPr>
          <w:szCs w:val="20"/>
          <w:lang w:val="fr-FR" w:eastAsia="fr-FR"/>
        </w:rPr>
        <w:t>Le ministère interjeta appel de ce jugement.</w:t>
      </w:r>
    </w:p>
    <w:p w:rsidR="00A45023" w:rsidRPr="00751658" w:rsidRDefault="00A45023" w:rsidP="00751658">
      <w:pPr>
        <w:suppressAutoHyphens/>
        <w:ind w:firstLine="284"/>
        <w:rPr>
          <w:szCs w:val="20"/>
          <w:lang w:val="fr-FR" w:eastAsia="fr-FR"/>
        </w:rPr>
      </w:pPr>
      <w:r>
        <w:rPr>
          <w:szCs w:val="20"/>
          <w:lang w:val="fr-FR" w:eastAsia="fr-FR"/>
        </w:rPr>
        <w:fldChar w:fldCharType="begin"/>
      </w:r>
      <w:r>
        <w:rPr>
          <w:szCs w:val="20"/>
          <w:lang w:val="fr-FR" w:eastAsia="fr-FR"/>
        </w:rPr>
        <w:instrText xml:space="preserve"> SEQ level0 \*arabic </w:instrText>
      </w:r>
      <w:r>
        <w:rPr>
          <w:szCs w:val="20"/>
          <w:lang w:val="fr-FR" w:eastAsia="fr-FR"/>
        </w:rPr>
        <w:fldChar w:fldCharType="separate"/>
      </w:r>
      <w:r>
        <w:rPr>
          <w:noProof/>
          <w:szCs w:val="20"/>
          <w:lang w:val="fr-FR" w:eastAsia="fr-FR"/>
        </w:rPr>
        <w:t>11</w:t>
      </w:r>
      <w:r>
        <w:rPr>
          <w:szCs w:val="20"/>
          <w:lang w:val="fr-FR" w:eastAsia="fr-FR"/>
        </w:rPr>
        <w:fldChar w:fldCharType="end"/>
      </w:r>
      <w:r>
        <w:rPr>
          <w:szCs w:val="20"/>
          <w:lang w:val="fr-FR" w:eastAsia="fr-FR"/>
        </w:rPr>
        <w:t>.  </w:t>
      </w:r>
      <w:r w:rsidRPr="00751658">
        <w:rPr>
          <w:szCs w:val="20"/>
          <w:lang w:val="fr-FR" w:eastAsia="fr-FR"/>
        </w:rPr>
        <w:t xml:space="preserve">Alors que </w:t>
      </w:r>
      <w:r>
        <w:rPr>
          <w:szCs w:val="20"/>
          <w:lang w:val="fr-FR" w:eastAsia="fr-FR"/>
        </w:rPr>
        <w:t>la procédure était pendante</w:t>
      </w:r>
      <w:r w:rsidRPr="00751658">
        <w:rPr>
          <w:szCs w:val="20"/>
          <w:lang w:val="fr-FR" w:eastAsia="fr-FR"/>
        </w:rPr>
        <w:t>, le Parlement adopta la loi de finances pour 2006 (« la loi n</w:t>
      </w:r>
      <w:r w:rsidRPr="00751658">
        <w:rPr>
          <w:szCs w:val="20"/>
          <w:vertAlign w:val="superscript"/>
          <w:lang w:val="fr-FR" w:eastAsia="fr-FR"/>
        </w:rPr>
        <w:t>o</w:t>
      </w:r>
      <w:r w:rsidRPr="00751658">
        <w:rPr>
          <w:szCs w:val="20"/>
          <w:lang w:val="fr-FR" w:eastAsia="fr-FR"/>
        </w:rPr>
        <w:t xml:space="preserve"> 266 »). L</w:t>
      </w:r>
      <w:r>
        <w:rPr>
          <w:szCs w:val="20"/>
          <w:lang w:val="fr-FR" w:eastAsia="fr-FR"/>
        </w:rPr>
        <w:t>’</w:t>
      </w:r>
      <w:r w:rsidRPr="00751658">
        <w:rPr>
          <w:szCs w:val="20"/>
          <w:lang w:val="fr-FR" w:eastAsia="fr-FR"/>
        </w:rPr>
        <w:t>article 1, alinéa 218, de ladite loi était intitulé « interprétation authentique (</w:t>
      </w:r>
      <w:r w:rsidRPr="00751658">
        <w:rPr>
          <w:i/>
          <w:iCs/>
          <w:szCs w:val="20"/>
          <w:lang w:val="fr-FR" w:eastAsia="fr-FR"/>
        </w:rPr>
        <w:t>interpretazione autentica</w:t>
      </w:r>
      <w:r w:rsidRPr="00751658">
        <w:rPr>
          <w:szCs w:val="20"/>
          <w:lang w:val="fr-FR" w:eastAsia="fr-FR"/>
        </w:rPr>
        <w:t>) de l</w:t>
      </w:r>
      <w:r>
        <w:rPr>
          <w:szCs w:val="20"/>
          <w:lang w:val="fr-FR" w:eastAsia="fr-FR"/>
        </w:rPr>
        <w:t>’</w:t>
      </w:r>
      <w:r w:rsidRPr="00751658">
        <w:rPr>
          <w:szCs w:val="20"/>
          <w:lang w:val="fr-FR" w:eastAsia="fr-FR"/>
        </w:rPr>
        <w:t>article 8 de la loi n</w:t>
      </w:r>
      <w:r w:rsidRPr="00751658">
        <w:rPr>
          <w:szCs w:val="20"/>
          <w:vertAlign w:val="superscript"/>
          <w:lang w:val="fr-FR" w:eastAsia="fr-FR"/>
        </w:rPr>
        <w:t xml:space="preserve">o </w:t>
      </w:r>
      <w:r w:rsidRPr="00751658">
        <w:rPr>
          <w:szCs w:val="20"/>
          <w:lang w:val="fr-FR" w:eastAsia="fr-FR"/>
        </w:rPr>
        <w:t>124 de 1999 » ; il prévoyait que le personnel ATA devait être intégré dans les tableaux de paye de la nouvelle administration sur la base du traitement salarial global des intéressés au moment de la mutation.</w:t>
      </w:r>
    </w:p>
    <w:p w:rsidR="00A45023" w:rsidRPr="00751658" w:rsidRDefault="00A45023" w:rsidP="00751658">
      <w:pPr>
        <w:suppressAutoHyphens/>
        <w:ind w:firstLine="284"/>
        <w:rPr>
          <w:szCs w:val="20"/>
          <w:lang w:val="fr-FR" w:eastAsia="fr-FR"/>
        </w:rPr>
      </w:pPr>
      <w:r>
        <w:rPr>
          <w:szCs w:val="20"/>
          <w:lang w:val="fr-FR" w:eastAsia="fr-FR"/>
        </w:rPr>
        <w:fldChar w:fldCharType="begin"/>
      </w:r>
      <w:r>
        <w:rPr>
          <w:szCs w:val="20"/>
          <w:lang w:val="fr-FR" w:eastAsia="fr-FR"/>
        </w:rPr>
        <w:instrText xml:space="preserve"> SEQ level0 \*arabic </w:instrText>
      </w:r>
      <w:r>
        <w:rPr>
          <w:szCs w:val="20"/>
          <w:lang w:val="fr-FR" w:eastAsia="fr-FR"/>
        </w:rPr>
        <w:fldChar w:fldCharType="separate"/>
      </w:r>
      <w:r>
        <w:rPr>
          <w:noProof/>
          <w:szCs w:val="20"/>
          <w:lang w:val="fr-FR" w:eastAsia="fr-FR"/>
        </w:rPr>
        <w:t>12</w:t>
      </w:r>
      <w:r>
        <w:rPr>
          <w:szCs w:val="20"/>
          <w:lang w:val="fr-FR" w:eastAsia="fr-FR"/>
        </w:rPr>
        <w:fldChar w:fldCharType="end"/>
      </w:r>
      <w:r>
        <w:rPr>
          <w:szCs w:val="20"/>
          <w:lang w:val="fr-FR" w:eastAsia="fr-FR"/>
        </w:rPr>
        <w:t>.  </w:t>
      </w:r>
      <w:r w:rsidRPr="00751658">
        <w:rPr>
          <w:szCs w:val="20"/>
          <w:lang w:val="fr-FR" w:eastAsia="fr-FR"/>
        </w:rPr>
        <w:t>Par un arrêt du 6 février 2010, la cour d</w:t>
      </w:r>
      <w:r>
        <w:rPr>
          <w:szCs w:val="20"/>
          <w:lang w:val="fr-FR" w:eastAsia="fr-FR"/>
        </w:rPr>
        <w:t>’</w:t>
      </w:r>
      <w:r w:rsidRPr="00751658">
        <w:rPr>
          <w:szCs w:val="20"/>
          <w:lang w:val="fr-FR" w:eastAsia="fr-FR"/>
        </w:rPr>
        <w:t>appel de Naples, compte tenu de la nouvelle loi, accueillit le recours du ministère et rejeta le recours de la requérante.</w:t>
      </w:r>
    </w:p>
    <w:p w:rsidR="00A45023" w:rsidRDefault="00A45023" w:rsidP="00751658">
      <w:pPr>
        <w:pStyle w:val="ECHRHeading1"/>
        <w:rPr>
          <w:rStyle w:val="JuHIRomanChar"/>
          <w:bCs w:val="0"/>
          <w:sz w:val="24"/>
        </w:rPr>
      </w:pPr>
      <w:r w:rsidRPr="00A4140C">
        <w:t>I</w:t>
      </w:r>
      <w:r w:rsidRPr="00A4140C">
        <w:rPr>
          <w:rStyle w:val="JuHIRomanChar"/>
          <w:bCs w:val="0"/>
          <w:sz w:val="24"/>
        </w:rPr>
        <w:t>I.  LE DROIT ET LA PRATIQUE INTERNES PERTINENTS</w:t>
      </w:r>
    </w:p>
    <w:p w:rsidR="00A45023" w:rsidRPr="00C06B2C" w:rsidRDefault="00A45023" w:rsidP="00751658">
      <w:pPr>
        <w:pStyle w:val="ECHRPara"/>
        <w:rPr>
          <w:bCs/>
          <w:szCs w:val="28"/>
        </w:rPr>
      </w:pPr>
      <w:r>
        <w:rPr>
          <w:bCs/>
          <w:szCs w:val="28"/>
        </w:rPr>
        <w:fldChar w:fldCharType="begin"/>
      </w:r>
      <w:r>
        <w:rPr>
          <w:bCs/>
          <w:szCs w:val="28"/>
        </w:rPr>
        <w:instrText xml:space="preserve"> SEQ level0 \*arabic </w:instrText>
      </w:r>
      <w:r>
        <w:rPr>
          <w:bCs/>
          <w:szCs w:val="28"/>
        </w:rPr>
        <w:fldChar w:fldCharType="separate"/>
      </w:r>
      <w:r>
        <w:rPr>
          <w:bCs/>
          <w:noProof/>
          <w:szCs w:val="28"/>
        </w:rPr>
        <w:t>13</w:t>
      </w:r>
      <w:r>
        <w:rPr>
          <w:bCs/>
          <w:szCs w:val="28"/>
        </w:rPr>
        <w:fldChar w:fldCharType="end"/>
      </w:r>
      <w:r>
        <w:rPr>
          <w:bCs/>
          <w:szCs w:val="28"/>
        </w:rPr>
        <w:t>.  </w:t>
      </w:r>
      <w:r w:rsidRPr="00C06B2C">
        <w:rPr>
          <w:bCs/>
          <w:szCs w:val="28"/>
        </w:rPr>
        <w:t xml:space="preserve">Le droit </w:t>
      </w:r>
      <w:r>
        <w:rPr>
          <w:bCs/>
          <w:szCs w:val="28"/>
        </w:rPr>
        <w:t xml:space="preserve">et la pratique </w:t>
      </w:r>
      <w:r w:rsidRPr="00C06B2C">
        <w:rPr>
          <w:bCs/>
          <w:szCs w:val="28"/>
        </w:rPr>
        <w:t>interne</w:t>
      </w:r>
      <w:r>
        <w:rPr>
          <w:bCs/>
          <w:szCs w:val="28"/>
        </w:rPr>
        <w:t>s</w:t>
      </w:r>
      <w:r w:rsidRPr="00C06B2C">
        <w:rPr>
          <w:bCs/>
          <w:szCs w:val="28"/>
        </w:rPr>
        <w:t xml:space="preserve"> pertinent se trouve</w:t>
      </w:r>
      <w:r>
        <w:rPr>
          <w:bCs/>
          <w:szCs w:val="28"/>
        </w:rPr>
        <w:t>nt</w:t>
      </w:r>
      <w:r w:rsidRPr="00C06B2C">
        <w:rPr>
          <w:bCs/>
          <w:szCs w:val="28"/>
        </w:rPr>
        <w:t xml:space="preserve"> décrit</w:t>
      </w:r>
      <w:r>
        <w:rPr>
          <w:bCs/>
          <w:szCs w:val="28"/>
        </w:rPr>
        <w:t>s</w:t>
      </w:r>
      <w:r w:rsidRPr="00C06B2C">
        <w:rPr>
          <w:bCs/>
          <w:szCs w:val="28"/>
        </w:rPr>
        <w:t xml:space="preserve"> dans </w:t>
      </w:r>
      <w:r>
        <w:rPr>
          <w:bCs/>
          <w:szCs w:val="28"/>
        </w:rPr>
        <w:t xml:space="preserve">les arrêts </w:t>
      </w:r>
      <w:r w:rsidRPr="00C06B2C">
        <w:rPr>
          <w:bCs/>
          <w:i/>
          <w:szCs w:val="28"/>
        </w:rPr>
        <w:t>Agrati et autres c. Italie</w:t>
      </w:r>
      <w:r w:rsidRPr="00C06B2C">
        <w:rPr>
          <w:bCs/>
          <w:szCs w:val="28"/>
        </w:rPr>
        <w:t xml:space="preserve">, </w:t>
      </w:r>
      <w:r>
        <w:rPr>
          <w:bCs/>
          <w:szCs w:val="28"/>
        </w:rPr>
        <w:t>(</w:t>
      </w:r>
      <w:r w:rsidRPr="00C06B2C">
        <w:rPr>
          <w:bCs/>
          <w:szCs w:val="28"/>
        </w:rPr>
        <w:t>n</w:t>
      </w:r>
      <w:r w:rsidRPr="00C06B2C">
        <w:rPr>
          <w:bCs/>
          <w:szCs w:val="28"/>
          <w:vertAlign w:val="superscript"/>
        </w:rPr>
        <w:t>os</w:t>
      </w:r>
      <w:r w:rsidRPr="00C06B2C">
        <w:rPr>
          <w:bCs/>
          <w:szCs w:val="28"/>
        </w:rPr>
        <w:t xml:space="preserve"> 43549/08, 6107/09 et 5087/09, 7 juin</w:t>
      </w:r>
      <w:r>
        <w:rPr>
          <w:bCs/>
          <w:szCs w:val="28"/>
        </w:rPr>
        <w:t xml:space="preserve"> 2011) et</w:t>
      </w:r>
      <w:r w:rsidRPr="00C06B2C">
        <w:rPr>
          <w:bCs/>
          <w:i/>
          <w:szCs w:val="28"/>
        </w:rPr>
        <w:t>De Rosa c. Italie</w:t>
      </w:r>
      <w:r w:rsidRPr="00C06B2C">
        <w:rPr>
          <w:bCs/>
          <w:szCs w:val="28"/>
        </w:rPr>
        <w:t>,</w:t>
      </w:r>
      <w:r>
        <w:rPr>
          <w:bCs/>
          <w:szCs w:val="28"/>
        </w:rPr>
        <w:t>(</w:t>
      </w:r>
      <w:r w:rsidRPr="00C06B2C">
        <w:rPr>
          <w:bCs/>
          <w:szCs w:val="28"/>
        </w:rPr>
        <w:t xml:space="preserve"> n</w:t>
      </w:r>
      <w:r w:rsidRPr="00C06B2C">
        <w:rPr>
          <w:bCs/>
          <w:szCs w:val="28"/>
          <w:vertAlign w:val="superscript"/>
        </w:rPr>
        <w:t>os</w:t>
      </w:r>
      <w:r w:rsidRPr="00C06B2C">
        <w:rPr>
          <w:bCs/>
          <w:szCs w:val="28"/>
        </w:rPr>
        <w:t xml:space="preserve"> 52888/08, 58528/08, 59194/08, 60462/08, 60473/08, 60628/08, 61116/08, 61131/08, 61139/08, 61143/08, 610/09, 4995/09, 5068/09 et 5141/09, 11 décembre 2012</w:t>
      </w:r>
      <w:r>
        <w:rPr>
          <w:bCs/>
          <w:szCs w:val="28"/>
        </w:rPr>
        <w:t>)</w:t>
      </w:r>
    </w:p>
    <w:p w:rsidR="00A45023" w:rsidRPr="00A4140C" w:rsidRDefault="00A45023" w:rsidP="00751658">
      <w:pPr>
        <w:pStyle w:val="ECHRTitle1"/>
      </w:pPr>
      <w:r w:rsidRPr="00A4140C">
        <w:t>EN DROIT</w:t>
      </w:r>
    </w:p>
    <w:p w:rsidR="00A45023" w:rsidRPr="00A4140C" w:rsidRDefault="00A45023" w:rsidP="00751658">
      <w:pPr>
        <w:pStyle w:val="ECHRHeading1"/>
      </w:pPr>
      <w:r w:rsidRPr="00A4140C">
        <w:t>II.  SUR LA VIOLATION ALLÉGUÉE DE L</w:t>
      </w:r>
      <w:r>
        <w:t>’</w:t>
      </w:r>
      <w:r w:rsidRPr="00A4140C">
        <w:t>ARTICLE 6 § 1 DE LA CONVENTION</w:t>
      </w:r>
    </w:p>
    <w:p w:rsidR="00A45023" w:rsidRPr="00A4140C" w:rsidRDefault="00A45023" w:rsidP="00751658">
      <w:pPr>
        <w:pStyle w:val="ECHRPara"/>
        <w:rPr>
          <w:bCs/>
          <w:szCs w:val="28"/>
        </w:rPr>
      </w:pPr>
      <w:r>
        <w:rPr>
          <w:bCs/>
          <w:szCs w:val="28"/>
        </w:rPr>
        <w:fldChar w:fldCharType="begin"/>
      </w:r>
      <w:r>
        <w:rPr>
          <w:bCs/>
          <w:szCs w:val="28"/>
        </w:rPr>
        <w:instrText xml:space="preserve"> SEQ level0 \*arabic </w:instrText>
      </w:r>
      <w:r>
        <w:rPr>
          <w:bCs/>
          <w:szCs w:val="28"/>
        </w:rPr>
        <w:fldChar w:fldCharType="separate"/>
      </w:r>
      <w:r>
        <w:rPr>
          <w:bCs/>
          <w:noProof/>
          <w:szCs w:val="28"/>
        </w:rPr>
        <w:t>14</w:t>
      </w:r>
      <w:r>
        <w:rPr>
          <w:bCs/>
          <w:szCs w:val="28"/>
        </w:rPr>
        <w:fldChar w:fldCharType="end"/>
      </w:r>
      <w:r>
        <w:rPr>
          <w:bCs/>
          <w:szCs w:val="28"/>
        </w:rPr>
        <w:t>.  La requérante se plaint</w:t>
      </w:r>
      <w:r w:rsidRPr="00A4140C">
        <w:rPr>
          <w:bCs/>
          <w:szCs w:val="28"/>
        </w:rPr>
        <w:t xml:space="preserve"> de l</w:t>
      </w:r>
      <w:r>
        <w:rPr>
          <w:bCs/>
          <w:szCs w:val="28"/>
        </w:rPr>
        <w:t>’</w:t>
      </w:r>
      <w:r w:rsidRPr="00A4140C">
        <w:rPr>
          <w:bCs/>
          <w:szCs w:val="28"/>
        </w:rPr>
        <w:t xml:space="preserve">intervention législative en cours de procédure qui, selon </w:t>
      </w:r>
      <w:r>
        <w:rPr>
          <w:bCs/>
          <w:szCs w:val="28"/>
        </w:rPr>
        <w:t xml:space="preserve">elle, a porté atteinte à son </w:t>
      </w:r>
      <w:r w:rsidRPr="00A4140C">
        <w:rPr>
          <w:bCs/>
          <w:szCs w:val="28"/>
        </w:rPr>
        <w:t xml:space="preserve">droit à un procès équitable. </w:t>
      </w:r>
      <w:r>
        <w:rPr>
          <w:bCs/>
          <w:szCs w:val="28"/>
        </w:rPr>
        <w:t>Elle indique</w:t>
      </w:r>
      <w:r w:rsidRPr="00A4140C">
        <w:rPr>
          <w:bCs/>
          <w:szCs w:val="28"/>
        </w:rPr>
        <w:t xml:space="preserve"> que la jurisprudence avait déjà reconnu que les anciens fonctionnaires territoriaux avaient droit à la reconnaissance de leurs anciennetés acquises auprès des autorités locales de provenance. Sans intervention législative, </w:t>
      </w:r>
      <w:r>
        <w:rPr>
          <w:bCs/>
          <w:szCs w:val="28"/>
        </w:rPr>
        <w:t>elle pouvait donc obtenir</w:t>
      </w:r>
      <w:r w:rsidRPr="00A4140C">
        <w:rPr>
          <w:bCs/>
          <w:szCs w:val="28"/>
        </w:rPr>
        <w:t xml:space="preserve"> satisfaction. </w:t>
      </w:r>
      <w:r>
        <w:rPr>
          <w:bCs/>
          <w:szCs w:val="28"/>
        </w:rPr>
        <w:t>La requérante estime</w:t>
      </w:r>
      <w:r w:rsidRPr="00A4140C">
        <w:rPr>
          <w:bCs/>
          <w:szCs w:val="28"/>
        </w:rPr>
        <w:t xml:space="preserve"> que seul l</w:t>
      </w:r>
      <w:r>
        <w:rPr>
          <w:bCs/>
          <w:szCs w:val="28"/>
        </w:rPr>
        <w:t>’</w:t>
      </w:r>
      <w:r w:rsidRPr="00A4140C">
        <w:rPr>
          <w:bCs/>
          <w:szCs w:val="28"/>
        </w:rPr>
        <w:t>intérêt financier de l</w:t>
      </w:r>
      <w:r>
        <w:rPr>
          <w:bCs/>
          <w:szCs w:val="28"/>
        </w:rPr>
        <w:t>’</w:t>
      </w:r>
      <w:r w:rsidRPr="00A4140C">
        <w:rPr>
          <w:bCs/>
          <w:szCs w:val="28"/>
        </w:rPr>
        <w:t>administration, qui ne suffisait pas à caractériser un motif impérieux d</w:t>
      </w:r>
      <w:r>
        <w:rPr>
          <w:bCs/>
          <w:szCs w:val="28"/>
        </w:rPr>
        <w:t>’</w:t>
      </w:r>
      <w:r w:rsidRPr="00A4140C">
        <w:rPr>
          <w:bCs/>
          <w:szCs w:val="28"/>
        </w:rPr>
        <w:t>intérêt général, a motivé l</w:t>
      </w:r>
      <w:r>
        <w:rPr>
          <w:bCs/>
          <w:szCs w:val="28"/>
        </w:rPr>
        <w:t>’</w:t>
      </w:r>
      <w:r w:rsidRPr="00A4140C">
        <w:rPr>
          <w:bCs/>
          <w:szCs w:val="28"/>
        </w:rPr>
        <w:t>intervention législative en question.</w:t>
      </w:r>
    </w:p>
    <w:p w:rsidR="00A45023" w:rsidRPr="00A4140C" w:rsidRDefault="00A45023" w:rsidP="00751658">
      <w:pPr>
        <w:pStyle w:val="ECHRPara"/>
        <w:rPr>
          <w:bCs/>
          <w:szCs w:val="28"/>
        </w:rPr>
      </w:pPr>
      <w:r>
        <w:rPr>
          <w:bCs/>
          <w:szCs w:val="28"/>
        </w:rPr>
        <w:t>Elle dénonce</w:t>
      </w:r>
      <w:r w:rsidRPr="00A4140C">
        <w:rPr>
          <w:bCs/>
          <w:szCs w:val="28"/>
        </w:rPr>
        <w:t xml:space="preserve"> une violation de l</w:t>
      </w:r>
      <w:r>
        <w:rPr>
          <w:bCs/>
          <w:szCs w:val="28"/>
        </w:rPr>
        <w:t>’</w:t>
      </w:r>
      <w:r w:rsidRPr="00A4140C">
        <w:rPr>
          <w:bCs/>
          <w:szCs w:val="28"/>
        </w:rPr>
        <w:t>article 6 § 1 de la Convention, aux termes duquel :</w:t>
      </w:r>
    </w:p>
    <w:p w:rsidR="00A45023" w:rsidRPr="00A4140C" w:rsidRDefault="00A45023" w:rsidP="00751658">
      <w:pPr>
        <w:pStyle w:val="JuQuotSub"/>
      </w:pPr>
      <w:r w:rsidRPr="00A4140C">
        <w:t>« Toute personne a droit à ce que sa cause soit entendue équitablement (...) par un tribunal (...), qui décidera (...) des con</w:t>
      </w:r>
      <w:smartTag w:uri="urn:schemas-microsoft-com:office:smarttags" w:element="PersonName">
        <w:r w:rsidRPr="00A4140C">
          <w:t>test</w:t>
        </w:r>
      </w:smartTag>
      <w:r w:rsidRPr="00A4140C">
        <w:t>ations sur ses droits et obligations de caractère civil (...) »</w:t>
      </w:r>
    </w:p>
    <w:p w:rsidR="00A45023" w:rsidRPr="00A4140C" w:rsidRDefault="00A45023" w:rsidP="00751658">
      <w:pPr>
        <w:pStyle w:val="ECHRHeading2"/>
      </w:pPr>
      <w:r w:rsidRPr="00A4140C">
        <w:t>A.  Sur la recevabilité</w:t>
      </w:r>
    </w:p>
    <w:p w:rsidR="00A45023" w:rsidRPr="00A4140C" w:rsidRDefault="00A45023" w:rsidP="00751658">
      <w:pPr>
        <w:pStyle w:val="ECHRPara"/>
        <w:rPr>
          <w:bCs/>
          <w:szCs w:val="28"/>
        </w:rPr>
      </w:pPr>
      <w:r w:rsidRPr="00A4140C">
        <w:rPr>
          <w:bCs/>
          <w:szCs w:val="28"/>
        </w:rPr>
        <w:fldChar w:fldCharType="begin"/>
      </w:r>
      <w:r w:rsidRPr="00A4140C">
        <w:rPr>
          <w:bCs/>
          <w:szCs w:val="28"/>
        </w:rPr>
        <w:instrText xml:space="preserve"> SEQ level0 \*arabic </w:instrText>
      </w:r>
      <w:r w:rsidRPr="00A4140C">
        <w:rPr>
          <w:bCs/>
          <w:szCs w:val="28"/>
        </w:rPr>
        <w:fldChar w:fldCharType="separate"/>
      </w:r>
      <w:r>
        <w:rPr>
          <w:bCs/>
          <w:noProof/>
          <w:szCs w:val="28"/>
        </w:rPr>
        <w:t>15</w:t>
      </w:r>
      <w:r w:rsidRPr="00A4140C">
        <w:rPr>
          <w:bCs/>
          <w:szCs w:val="28"/>
        </w:rPr>
        <w:fldChar w:fldCharType="end"/>
      </w:r>
      <w:r w:rsidRPr="00A4140C">
        <w:rPr>
          <w:bCs/>
          <w:szCs w:val="28"/>
        </w:rPr>
        <w:t>.  La Cour constate que ce grief n</w:t>
      </w:r>
      <w:r>
        <w:rPr>
          <w:bCs/>
          <w:szCs w:val="28"/>
        </w:rPr>
        <w:t>’</w:t>
      </w:r>
      <w:r w:rsidRPr="00A4140C">
        <w:rPr>
          <w:bCs/>
          <w:szCs w:val="28"/>
        </w:rPr>
        <w:t>est pas manifestement mal fondé au sens de l</w:t>
      </w:r>
      <w:r>
        <w:rPr>
          <w:bCs/>
          <w:szCs w:val="28"/>
        </w:rPr>
        <w:t>’</w:t>
      </w:r>
      <w:r w:rsidRPr="00A4140C">
        <w:rPr>
          <w:bCs/>
          <w:szCs w:val="28"/>
        </w:rPr>
        <w:t>article 35 § 3 de la Convention. Elle relève en outre qu</w:t>
      </w:r>
      <w:r>
        <w:rPr>
          <w:bCs/>
          <w:szCs w:val="28"/>
        </w:rPr>
        <w:t>’</w:t>
      </w:r>
      <w:r w:rsidRPr="00A4140C">
        <w:rPr>
          <w:bCs/>
          <w:szCs w:val="28"/>
        </w:rPr>
        <w:t>il ne se heurte à aucun autre motif d</w:t>
      </w:r>
      <w:r>
        <w:rPr>
          <w:bCs/>
          <w:szCs w:val="28"/>
        </w:rPr>
        <w:t>’</w:t>
      </w:r>
      <w:r w:rsidRPr="00A4140C">
        <w:rPr>
          <w:bCs/>
          <w:szCs w:val="28"/>
        </w:rPr>
        <w:t>irrecevabilité. Il convient donc de déclarer l</w:t>
      </w:r>
      <w:r>
        <w:rPr>
          <w:bCs/>
          <w:szCs w:val="28"/>
        </w:rPr>
        <w:t>a requête recevable</w:t>
      </w:r>
      <w:r w:rsidRPr="00A4140C">
        <w:rPr>
          <w:bCs/>
          <w:szCs w:val="28"/>
        </w:rPr>
        <w:t>.</w:t>
      </w:r>
    </w:p>
    <w:p w:rsidR="00A45023" w:rsidRPr="00A4140C" w:rsidRDefault="00A45023" w:rsidP="00751658">
      <w:pPr>
        <w:pStyle w:val="ECHRHeading2"/>
      </w:pPr>
      <w:r w:rsidRPr="00A4140C">
        <w:t>B.  Sur le fond</w:t>
      </w:r>
    </w:p>
    <w:p w:rsidR="00A45023" w:rsidRDefault="00A45023" w:rsidP="00751658">
      <w:pPr>
        <w:pStyle w:val="ECHRHeading3"/>
      </w:pPr>
      <w:r w:rsidRPr="00A4140C">
        <w:t>1.  Arguments des parties</w:t>
      </w:r>
    </w:p>
    <w:p w:rsidR="00A45023" w:rsidRDefault="00A45023" w:rsidP="00C014E9">
      <w:pPr>
        <w:pStyle w:val="ECHRHeading4"/>
      </w:pPr>
      <w:r w:rsidRPr="00C014E9">
        <w:t xml:space="preserve">a. </w:t>
      </w:r>
      <w:r>
        <w:t>La requérante</w:t>
      </w:r>
    </w:p>
    <w:p w:rsidR="00A45023" w:rsidRPr="00C014E9" w:rsidRDefault="00A45023" w:rsidP="00C014E9">
      <w:pPr>
        <w:pStyle w:val="ECHRPara"/>
        <w:rPr>
          <w:lang w:eastAsia="en-GB"/>
        </w:rPr>
      </w:pPr>
      <w:r w:rsidRPr="00C014E9">
        <w:rPr>
          <w:bCs/>
        </w:rPr>
        <w:fldChar w:fldCharType="begin"/>
      </w:r>
      <w:r w:rsidRPr="00C014E9">
        <w:rPr>
          <w:bCs/>
        </w:rPr>
        <w:instrText xml:space="preserve"> SEQ level0 \*arabic </w:instrText>
      </w:r>
      <w:r w:rsidRPr="00C014E9">
        <w:rPr>
          <w:bCs/>
        </w:rPr>
        <w:fldChar w:fldCharType="separate"/>
      </w:r>
      <w:r>
        <w:rPr>
          <w:bCs/>
          <w:noProof/>
        </w:rPr>
        <w:t>16</w:t>
      </w:r>
      <w:r w:rsidRPr="00C014E9">
        <w:rPr>
          <w:bCs/>
        </w:rPr>
        <w:fldChar w:fldCharType="end"/>
      </w:r>
      <w:r w:rsidRPr="00C014E9">
        <w:rPr>
          <w:bCs/>
        </w:rPr>
        <w:t>.  </w:t>
      </w:r>
      <w:r>
        <w:rPr>
          <w:bCs/>
        </w:rPr>
        <w:t>La requérante fait</w:t>
      </w:r>
      <w:r w:rsidRPr="00C014E9">
        <w:rPr>
          <w:bCs/>
        </w:rPr>
        <w:t xml:space="preserve"> valoir </w:t>
      </w:r>
      <w:r w:rsidRPr="00C014E9">
        <w:rPr>
          <w:lang w:eastAsia="en-GB"/>
        </w:rPr>
        <w:t>que la jurisprudence avait déjà reconnu que les anciens fonctionnaires territoriauxavaient droit à la reconnaissance, à toutes fins juridiques et économiques, de l</w:t>
      </w:r>
      <w:r>
        <w:rPr>
          <w:lang w:eastAsia="en-GB"/>
        </w:rPr>
        <w:t>’</w:t>
      </w:r>
      <w:r w:rsidRPr="00C014E9">
        <w:rPr>
          <w:lang w:eastAsia="en-GB"/>
        </w:rPr>
        <w:t>ancienneté acquise auprès de l</w:t>
      </w:r>
      <w:r>
        <w:rPr>
          <w:lang w:eastAsia="en-GB"/>
        </w:rPr>
        <w:t>’</w:t>
      </w:r>
      <w:r w:rsidRPr="00C014E9">
        <w:rPr>
          <w:lang w:eastAsia="en-GB"/>
        </w:rPr>
        <w:t xml:space="preserve">autorité locale. Sans intervention législative, </w:t>
      </w:r>
      <w:r>
        <w:rPr>
          <w:lang w:eastAsia="en-GB"/>
        </w:rPr>
        <w:t>elle pouvai</w:t>
      </w:r>
      <w:r w:rsidRPr="00C014E9">
        <w:rPr>
          <w:lang w:eastAsia="en-GB"/>
        </w:rPr>
        <w:t>t donc avoir une espérance légitime, pratiquement une certitude, d</w:t>
      </w:r>
      <w:r>
        <w:rPr>
          <w:lang w:eastAsia="en-GB"/>
        </w:rPr>
        <w:t>’</w:t>
      </w:r>
      <w:r w:rsidRPr="00C014E9">
        <w:rPr>
          <w:lang w:eastAsia="en-GB"/>
        </w:rPr>
        <w:t>obtenir satisfaction.</w:t>
      </w:r>
    </w:p>
    <w:p w:rsidR="00A45023" w:rsidRDefault="00A45023" w:rsidP="00C014E9">
      <w:pPr>
        <w:pStyle w:val="ECHRPara"/>
        <w:rPr>
          <w:bCs/>
        </w:rPr>
      </w:pPr>
      <w:r w:rsidRPr="00C014E9">
        <w:rPr>
          <w:bCs/>
        </w:rPr>
        <w:t>Se référant àl</w:t>
      </w:r>
      <w:r>
        <w:rPr>
          <w:bCs/>
        </w:rPr>
        <w:t>’</w:t>
      </w:r>
      <w:r w:rsidRPr="00C014E9">
        <w:rPr>
          <w:bCs/>
        </w:rPr>
        <w:t xml:space="preserve">affaire </w:t>
      </w:r>
      <w:r w:rsidRPr="00C014E9">
        <w:rPr>
          <w:bCs/>
          <w:i/>
          <w:iCs/>
        </w:rPr>
        <w:t xml:space="preserve">Agrati et autres c. Italie </w:t>
      </w:r>
      <w:r>
        <w:rPr>
          <w:bCs/>
          <w:iCs/>
        </w:rPr>
        <w:t>(</w:t>
      </w:r>
      <w:r w:rsidRPr="00F429D6">
        <w:rPr>
          <w:bCs/>
          <w:iCs/>
        </w:rPr>
        <w:t>précité)</w:t>
      </w:r>
      <w:r>
        <w:rPr>
          <w:bCs/>
          <w:iCs/>
        </w:rPr>
        <w:t>,</w:t>
      </w:r>
      <w:r>
        <w:rPr>
          <w:bCs/>
        </w:rPr>
        <w:t>elle demande</w:t>
      </w:r>
      <w:r w:rsidRPr="00C014E9">
        <w:rPr>
          <w:bCs/>
        </w:rPr>
        <w:t xml:space="preserve"> à la Cour de conclure à la violation d</w:t>
      </w:r>
      <w:r>
        <w:rPr>
          <w:bCs/>
        </w:rPr>
        <w:t>e l’article 6 de la Convention.</w:t>
      </w:r>
    </w:p>
    <w:p w:rsidR="00A45023" w:rsidRPr="00C014E9" w:rsidRDefault="00A45023" w:rsidP="00C014E9">
      <w:pPr>
        <w:pStyle w:val="ECHRHeading4"/>
      </w:pPr>
      <w:r w:rsidRPr="00C014E9">
        <w:t>b. Le Gouvernement</w:t>
      </w:r>
    </w:p>
    <w:p w:rsidR="00A45023" w:rsidRDefault="00A45023" w:rsidP="00C014E9">
      <w:pPr>
        <w:pStyle w:val="ECHRPara"/>
        <w:rPr>
          <w:bCs/>
        </w:rPr>
      </w:pPr>
      <w:r>
        <w:rPr>
          <w:bCs/>
        </w:rPr>
        <w:fldChar w:fldCharType="begin"/>
      </w:r>
      <w:r>
        <w:rPr>
          <w:bCs/>
        </w:rPr>
        <w:instrText xml:space="preserve"> SEQ level0 \*arabic </w:instrText>
      </w:r>
      <w:r>
        <w:rPr>
          <w:bCs/>
        </w:rPr>
        <w:fldChar w:fldCharType="separate"/>
      </w:r>
      <w:r>
        <w:rPr>
          <w:bCs/>
          <w:noProof/>
        </w:rPr>
        <w:t>17</w:t>
      </w:r>
      <w:r>
        <w:rPr>
          <w:bCs/>
        </w:rPr>
        <w:fldChar w:fldCharType="end"/>
      </w:r>
      <w:r>
        <w:rPr>
          <w:bCs/>
        </w:rPr>
        <w:t>.  </w:t>
      </w:r>
      <w:r w:rsidRPr="00C014E9">
        <w:rPr>
          <w:bCs/>
        </w:rPr>
        <w:t xml:space="preserve"> Le Gouvernement s</w:t>
      </w:r>
      <w:r>
        <w:rPr>
          <w:bCs/>
        </w:rPr>
        <w:t>’</w:t>
      </w:r>
      <w:r w:rsidRPr="00C014E9">
        <w:rPr>
          <w:bCs/>
        </w:rPr>
        <w:t xml:space="preserve">oppose à la thèse </w:t>
      </w:r>
      <w:r>
        <w:rPr>
          <w:bCs/>
        </w:rPr>
        <w:t>de la requérante</w:t>
      </w:r>
      <w:r w:rsidRPr="00C014E9">
        <w:rPr>
          <w:bCs/>
        </w:rPr>
        <w:t>. Il affirme qu</w:t>
      </w:r>
      <w:r>
        <w:rPr>
          <w:bCs/>
        </w:rPr>
        <w:t>’</w:t>
      </w:r>
      <w:r w:rsidRPr="00C014E9">
        <w:rPr>
          <w:bCs/>
        </w:rPr>
        <w:t xml:space="preserve">à la suite de </w:t>
      </w:r>
      <w:r>
        <w:rPr>
          <w:bCs/>
        </w:rPr>
        <w:t>son</w:t>
      </w:r>
      <w:r w:rsidRPr="00C014E9">
        <w:rPr>
          <w:bCs/>
        </w:rPr>
        <w:t xml:space="preserve"> transfert, </w:t>
      </w:r>
      <w:r>
        <w:rPr>
          <w:bCs/>
        </w:rPr>
        <w:t>la requérante aurait</w:t>
      </w:r>
      <w:r w:rsidRPr="00C014E9">
        <w:rPr>
          <w:bCs/>
        </w:rPr>
        <w:t xml:space="preserve"> continué à exercer les mêmes fonctions avec le même salaire, et que toute l</w:t>
      </w:r>
      <w:r>
        <w:rPr>
          <w:bCs/>
        </w:rPr>
        <w:t>’</w:t>
      </w:r>
      <w:r w:rsidRPr="00C014E9">
        <w:rPr>
          <w:bCs/>
        </w:rPr>
        <w:t xml:space="preserve">ancienneté acquise avait été reconnue aux fins de </w:t>
      </w:r>
      <w:r>
        <w:rPr>
          <w:bCs/>
        </w:rPr>
        <w:t>sa</w:t>
      </w:r>
      <w:r w:rsidRPr="00C014E9">
        <w:rPr>
          <w:bCs/>
        </w:rPr>
        <w:t xml:space="preserve"> retraite. La seule différence, selon le Gouvernement, était que l</w:t>
      </w:r>
      <w:r>
        <w:rPr>
          <w:bCs/>
        </w:rPr>
        <w:t>’</w:t>
      </w:r>
      <w:r w:rsidRPr="00C014E9">
        <w:rPr>
          <w:bCs/>
        </w:rPr>
        <w:t xml:space="preserve">ancienneté acquise pendant le service accompli dans la fonction publique territoriale ne pouvait pas entraîner une augmentation salariale par rapport au traitement économique dont </w:t>
      </w:r>
      <w:r>
        <w:rPr>
          <w:bCs/>
        </w:rPr>
        <w:t>l’intéressée jouissai</w:t>
      </w:r>
      <w:r w:rsidRPr="00C014E9">
        <w:rPr>
          <w:bCs/>
        </w:rPr>
        <w:t xml:space="preserve">t avant </w:t>
      </w:r>
      <w:r>
        <w:rPr>
          <w:bCs/>
        </w:rPr>
        <w:t>son</w:t>
      </w:r>
      <w:r w:rsidRPr="00C014E9">
        <w:rPr>
          <w:bCs/>
        </w:rPr>
        <w:t xml:space="preserve"> transfert.</w:t>
      </w:r>
    </w:p>
    <w:p w:rsidR="00A45023" w:rsidRPr="00C014E9" w:rsidRDefault="00A45023" w:rsidP="00C014E9">
      <w:pPr>
        <w:pStyle w:val="ECHRPara"/>
        <w:rPr>
          <w:bCs/>
        </w:rPr>
      </w:pPr>
      <w:r w:rsidRPr="00C014E9">
        <w:rPr>
          <w:bCs/>
        </w:rPr>
        <w:fldChar w:fldCharType="begin"/>
      </w:r>
      <w:r w:rsidRPr="00C014E9">
        <w:rPr>
          <w:bCs/>
        </w:rPr>
        <w:instrText xml:space="preserve"> SEQ level0 \*arabic </w:instrText>
      </w:r>
      <w:r w:rsidRPr="00C014E9">
        <w:rPr>
          <w:bCs/>
        </w:rPr>
        <w:fldChar w:fldCharType="separate"/>
      </w:r>
      <w:r>
        <w:rPr>
          <w:bCs/>
          <w:noProof/>
        </w:rPr>
        <w:t>18</w:t>
      </w:r>
      <w:r w:rsidRPr="00C014E9">
        <w:rPr>
          <w:bCs/>
        </w:rPr>
        <w:fldChar w:fldCharType="end"/>
      </w:r>
      <w:r w:rsidRPr="00C014E9">
        <w:rPr>
          <w:bCs/>
        </w:rPr>
        <w:t>.  En outre, le Gouvernement rappelle que cette interprétation de la loi n</w:t>
      </w:r>
      <w:r w:rsidRPr="00C014E9">
        <w:rPr>
          <w:bCs/>
          <w:vertAlign w:val="superscript"/>
        </w:rPr>
        <w:t>o</w:t>
      </w:r>
      <w:r w:rsidRPr="00C014E9">
        <w:rPr>
          <w:bCs/>
        </w:rPr>
        <w:t> 124 de 1999 avait été entérinée par l</w:t>
      </w:r>
      <w:r>
        <w:rPr>
          <w:bCs/>
        </w:rPr>
        <w:t>’</w:t>
      </w:r>
      <w:r w:rsidRPr="00C014E9">
        <w:rPr>
          <w:bCs/>
        </w:rPr>
        <w:t>un des accords passées entre l</w:t>
      </w:r>
      <w:r>
        <w:rPr>
          <w:bCs/>
        </w:rPr>
        <w:t>’</w:t>
      </w:r>
      <w:r w:rsidRPr="00C014E9">
        <w:rPr>
          <w:bCs/>
        </w:rPr>
        <w:t>administration (ARAN) et les syndicats des employés puis confirmé dans le décret ministériel du 5 avril 2001.</w:t>
      </w:r>
    </w:p>
    <w:p w:rsidR="00A45023" w:rsidRPr="00C014E9" w:rsidRDefault="00A45023" w:rsidP="00C014E9">
      <w:pPr>
        <w:pStyle w:val="ECHRPara"/>
        <w:rPr>
          <w:bCs/>
        </w:rPr>
      </w:pPr>
      <w:r>
        <w:rPr>
          <w:bCs/>
        </w:rPr>
        <w:fldChar w:fldCharType="begin"/>
      </w:r>
      <w:r>
        <w:rPr>
          <w:bCs/>
        </w:rPr>
        <w:instrText xml:space="preserve"> SEQ level0 \*arabic </w:instrText>
      </w:r>
      <w:r>
        <w:rPr>
          <w:bCs/>
        </w:rPr>
        <w:fldChar w:fldCharType="separate"/>
      </w:r>
      <w:r>
        <w:rPr>
          <w:bCs/>
          <w:noProof/>
        </w:rPr>
        <w:t>19</w:t>
      </w:r>
      <w:r>
        <w:rPr>
          <w:bCs/>
        </w:rPr>
        <w:fldChar w:fldCharType="end"/>
      </w:r>
      <w:r>
        <w:rPr>
          <w:bCs/>
        </w:rPr>
        <w:t>.  </w:t>
      </w:r>
      <w:r w:rsidRPr="00C014E9">
        <w:rPr>
          <w:bCs/>
        </w:rPr>
        <w:t>D</w:t>
      </w:r>
      <w:r>
        <w:rPr>
          <w:bCs/>
        </w:rPr>
        <w:t>’</w:t>
      </w:r>
      <w:r w:rsidRPr="00C014E9">
        <w:rPr>
          <w:bCs/>
        </w:rPr>
        <w:t>après le Gouvernement, étant donné que des contentieux s</w:t>
      </w:r>
      <w:r>
        <w:rPr>
          <w:bCs/>
        </w:rPr>
        <w:t>’</w:t>
      </w:r>
      <w:r w:rsidRPr="00C014E9">
        <w:rPr>
          <w:bCs/>
        </w:rPr>
        <w:t>étaient multipliés sur l</w:t>
      </w:r>
      <w:r>
        <w:rPr>
          <w:bCs/>
        </w:rPr>
        <w:t>’</w:t>
      </w:r>
      <w:r w:rsidRPr="00C014E9">
        <w:rPr>
          <w:bCs/>
        </w:rPr>
        <w:t>ensemble du territoire, le législateur était intervenu par le biais d</w:t>
      </w:r>
      <w:r>
        <w:rPr>
          <w:bCs/>
        </w:rPr>
        <w:t>’</w:t>
      </w:r>
      <w:r w:rsidRPr="00C014E9">
        <w:rPr>
          <w:bCs/>
        </w:rPr>
        <w:t>une loi interprétative afin de combler le vide juridique qui s</w:t>
      </w:r>
      <w:r>
        <w:rPr>
          <w:bCs/>
        </w:rPr>
        <w:t>’</w:t>
      </w:r>
      <w:r w:rsidRPr="00C014E9">
        <w:rPr>
          <w:bCs/>
        </w:rPr>
        <w:t>était créé, en tenant compte de la difficulté de régler cette matière par la voie d</w:t>
      </w:r>
      <w:r>
        <w:rPr>
          <w:bCs/>
        </w:rPr>
        <w:t>’</w:t>
      </w:r>
      <w:r w:rsidRPr="00C014E9">
        <w:rPr>
          <w:bCs/>
        </w:rPr>
        <w:t>accords collectifs ou par les soins du pouvoir réglementaire : le but était d</w:t>
      </w:r>
      <w:r>
        <w:rPr>
          <w:bCs/>
        </w:rPr>
        <w:t>’</w:t>
      </w:r>
      <w:r w:rsidRPr="00C014E9">
        <w:rPr>
          <w:bCs/>
        </w:rPr>
        <w:t>éviter des augmentations injustifiées des salaires et une disparité de traitement entre différentes catégories d</w:t>
      </w:r>
      <w:r>
        <w:rPr>
          <w:bCs/>
        </w:rPr>
        <w:t>’</w:t>
      </w:r>
      <w:r w:rsidRPr="00C014E9">
        <w:rPr>
          <w:bCs/>
        </w:rPr>
        <w:t xml:space="preserve">employés. Selon le Gouvernement, </w:t>
      </w:r>
      <w:r>
        <w:rPr>
          <w:bCs/>
        </w:rPr>
        <w:t xml:space="preserve">qui se réfère à cet égard à plusieurs arrêts de la Cour en matière d’interventions législatives, </w:t>
      </w:r>
      <w:r w:rsidRPr="00C014E9">
        <w:rPr>
          <w:bCs/>
        </w:rPr>
        <w:t xml:space="preserve">on ne saurait parler de </w:t>
      </w:r>
      <w:r w:rsidRPr="00C014E9">
        <w:rPr>
          <w:bCs/>
          <w:i/>
        </w:rPr>
        <w:t xml:space="preserve">reformatio in peius </w:t>
      </w:r>
      <w:r w:rsidRPr="00C014E9">
        <w:rPr>
          <w:bCs/>
        </w:rPr>
        <w:t xml:space="preserve">de la position de </w:t>
      </w:r>
      <w:r>
        <w:rPr>
          <w:bCs/>
        </w:rPr>
        <w:t xml:space="preserve">la </w:t>
      </w:r>
      <w:r w:rsidRPr="00C014E9">
        <w:rPr>
          <w:bCs/>
        </w:rPr>
        <w:t>requérant</w:t>
      </w:r>
      <w:r>
        <w:rPr>
          <w:bCs/>
        </w:rPr>
        <w:t>e</w:t>
      </w:r>
      <w:r w:rsidRPr="00C014E9">
        <w:rPr>
          <w:bCs/>
        </w:rPr>
        <w:t>.</w:t>
      </w:r>
    </w:p>
    <w:p w:rsidR="00A45023" w:rsidRPr="00C014E9" w:rsidRDefault="00A45023" w:rsidP="00C014E9">
      <w:pPr>
        <w:pStyle w:val="ECHRPara"/>
        <w:rPr>
          <w:bCs/>
        </w:rPr>
      </w:pPr>
      <w:r w:rsidRPr="00C014E9">
        <w:rPr>
          <w:bCs/>
        </w:rPr>
        <w:fldChar w:fldCharType="begin"/>
      </w:r>
      <w:r w:rsidRPr="00C014E9">
        <w:rPr>
          <w:bCs/>
        </w:rPr>
        <w:instrText xml:space="preserve"> SEQ level0 \*arabic </w:instrText>
      </w:r>
      <w:r w:rsidRPr="00C014E9">
        <w:rPr>
          <w:bCs/>
        </w:rPr>
        <w:fldChar w:fldCharType="separate"/>
      </w:r>
      <w:r>
        <w:rPr>
          <w:bCs/>
          <w:noProof/>
        </w:rPr>
        <w:t>20</w:t>
      </w:r>
      <w:r w:rsidRPr="00C014E9">
        <w:rPr>
          <w:bCs/>
        </w:rPr>
        <w:fldChar w:fldCharType="end"/>
      </w:r>
      <w:r w:rsidRPr="00C014E9">
        <w:rPr>
          <w:bCs/>
        </w:rPr>
        <w:t xml:space="preserve">.  Dans </w:t>
      </w:r>
      <w:r>
        <w:rPr>
          <w:bCs/>
        </w:rPr>
        <w:t>la présente affaire</w:t>
      </w:r>
      <w:r w:rsidRPr="00C014E9">
        <w:rPr>
          <w:bCs/>
        </w:rPr>
        <w:t xml:space="preserve">, </w:t>
      </w:r>
      <w:r>
        <w:rPr>
          <w:bCs/>
        </w:rPr>
        <w:t>la requérante</w:t>
      </w:r>
      <w:r w:rsidRPr="00C014E9">
        <w:rPr>
          <w:bCs/>
        </w:rPr>
        <w:t xml:space="preserve">, qui </w:t>
      </w:r>
      <w:r>
        <w:rPr>
          <w:bCs/>
        </w:rPr>
        <w:t>ne disposai</w:t>
      </w:r>
      <w:r w:rsidRPr="00C014E9">
        <w:rPr>
          <w:bCs/>
        </w:rPr>
        <w:t>t pas d</w:t>
      </w:r>
      <w:r>
        <w:rPr>
          <w:bCs/>
        </w:rPr>
        <w:t>’</w:t>
      </w:r>
      <w:r w:rsidRPr="00C014E9">
        <w:rPr>
          <w:bCs/>
        </w:rPr>
        <w:t xml:space="preserve">un arrêt définitif et exécutoire, </w:t>
      </w:r>
      <w:r>
        <w:rPr>
          <w:bCs/>
        </w:rPr>
        <w:t>a</w:t>
      </w:r>
      <w:r w:rsidRPr="00C014E9">
        <w:rPr>
          <w:bCs/>
        </w:rPr>
        <w:t xml:space="preserve"> essayé de profiter d</w:t>
      </w:r>
      <w:r>
        <w:rPr>
          <w:bCs/>
        </w:rPr>
        <w:t>’</w:t>
      </w:r>
      <w:r w:rsidRPr="00C014E9">
        <w:rPr>
          <w:bCs/>
        </w:rPr>
        <w:t>une aubaine et d</w:t>
      </w:r>
      <w:r>
        <w:rPr>
          <w:bCs/>
        </w:rPr>
        <w:t>’</w:t>
      </w:r>
      <w:r w:rsidRPr="00C014E9">
        <w:rPr>
          <w:bCs/>
        </w:rPr>
        <w:t>un vide juridique ainsi que de l</w:t>
      </w:r>
      <w:r>
        <w:rPr>
          <w:bCs/>
        </w:rPr>
        <w:t>’</w:t>
      </w:r>
      <w:r w:rsidRPr="00C014E9">
        <w:rPr>
          <w:bCs/>
        </w:rPr>
        <w:t>insuffisance des accords collectifs et de l</w:t>
      </w:r>
      <w:r>
        <w:rPr>
          <w:bCs/>
        </w:rPr>
        <w:t>’</w:t>
      </w:r>
      <w:r w:rsidRPr="00C014E9">
        <w:rPr>
          <w:bCs/>
        </w:rPr>
        <w:t>incapacité du pouvoir à régler cette matière. L</w:t>
      </w:r>
      <w:r>
        <w:rPr>
          <w:bCs/>
        </w:rPr>
        <w:t>’</w:t>
      </w:r>
      <w:r w:rsidRPr="00C014E9">
        <w:rPr>
          <w:bCs/>
        </w:rPr>
        <w:t>intervention du législateur était donc parfaitement prévisible et répondait à une évidente et impérieuse justification d</w:t>
      </w:r>
      <w:r>
        <w:rPr>
          <w:bCs/>
        </w:rPr>
        <w:t>’</w:t>
      </w:r>
      <w:r w:rsidRPr="00C014E9">
        <w:rPr>
          <w:bCs/>
        </w:rPr>
        <w:t>intérêt général (</w:t>
      </w:r>
      <w:r w:rsidRPr="00C014E9">
        <w:rPr>
          <w:bCs/>
          <w:i/>
        </w:rPr>
        <w:t>OGIS-Institut Stanislas et autres</w:t>
      </w:r>
      <w:r w:rsidRPr="00C014E9">
        <w:rPr>
          <w:bCs/>
        </w:rPr>
        <w:t>, précité). Selon le Gouvernement, cette situation s</w:t>
      </w:r>
      <w:r>
        <w:rPr>
          <w:bCs/>
        </w:rPr>
        <w:t>’</w:t>
      </w:r>
      <w:r w:rsidRPr="00C014E9">
        <w:rPr>
          <w:bCs/>
        </w:rPr>
        <w:t>apparente à celle du législateur dans l</w:t>
      </w:r>
      <w:r>
        <w:rPr>
          <w:bCs/>
        </w:rPr>
        <w:t>’</w:t>
      </w:r>
      <w:r w:rsidRPr="00C014E9">
        <w:rPr>
          <w:bCs/>
        </w:rPr>
        <w:t>affaire « </w:t>
      </w:r>
      <w:r w:rsidRPr="00C014E9">
        <w:rPr>
          <w:bCs/>
          <w:i/>
          <w:iCs/>
        </w:rPr>
        <w:t>Building Societies » c. Royaume-Uni</w:t>
      </w:r>
      <w:r w:rsidRPr="00C014E9">
        <w:rPr>
          <w:bCs/>
        </w:rPr>
        <w:t>, précitée. Il estime qu</w:t>
      </w:r>
      <w:r>
        <w:rPr>
          <w:bCs/>
        </w:rPr>
        <w:t>’</w:t>
      </w:r>
      <w:r w:rsidRPr="00C014E9">
        <w:rPr>
          <w:bCs/>
        </w:rPr>
        <w:t>en plus, dans les cas d</w:t>
      </w:r>
      <w:r>
        <w:rPr>
          <w:bCs/>
        </w:rPr>
        <w:t>’</w:t>
      </w:r>
      <w:r w:rsidRPr="00C014E9">
        <w:rPr>
          <w:bCs/>
        </w:rPr>
        <w:t>espèce, l</w:t>
      </w:r>
      <w:r>
        <w:rPr>
          <w:bCs/>
        </w:rPr>
        <w:t>’</w:t>
      </w:r>
      <w:r w:rsidRPr="00C014E9">
        <w:rPr>
          <w:bCs/>
        </w:rPr>
        <w:t>intervention du législateur a permis de prévenir la création de situations discriminatoires au sein du personnel ATA. Il en conclut qu</w:t>
      </w:r>
      <w:r>
        <w:rPr>
          <w:bCs/>
        </w:rPr>
        <w:t>’</w:t>
      </w:r>
      <w:r w:rsidRPr="00C014E9">
        <w:rPr>
          <w:bCs/>
        </w:rPr>
        <w:t>il existait bien un impérieux motif d</w:t>
      </w:r>
      <w:r>
        <w:rPr>
          <w:bCs/>
        </w:rPr>
        <w:t>’</w:t>
      </w:r>
      <w:r w:rsidRPr="00C014E9">
        <w:rPr>
          <w:bCs/>
        </w:rPr>
        <w:t>intérêt public au sens de la jurisprudence de la Cour.</w:t>
      </w:r>
    </w:p>
    <w:p w:rsidR="00A45023" w:rsidRPr="00C014E9" w:rsidRDefault="00A45023" w:rsidP="00C014E9">
      <w:pPr>
        <w:pStyle w:val="ECHRPara"/>
        <w:rPr>
          <w:bCs/>
        </w:rPr>
      </w:pPr>
      <w:r w:rsidRPr="00C014E9">
        <w:rPr>
          <w:bCs/>
        </w:rPr>
        <w:fldChar w:fldCharType="begin"/>
      </w:r>
      <w:r w:rsidRPr="00C014E9">
        <w:rPr>
          <w:bCs/>
        </w:rPr>
        <w:instrText xml:space="preserve"> SEQ level0 \*arabic </w:instrText>
      </w:r>
      <w:r w:rsidRPr="00C014E9">
        <w:rPr>
          <w:bCs/>
        </w:rPr>
        <w:fldChar w:fldCharType="separate"/>
      </w:r>
      <w:r>
        <w:rPr>
          <w:bCs/>
          <w:noProof/>
        </w:rPr>
        <w:t>21</w:t>
      </w:r>
      <w:r w:rsidRPr="00C014E9">
        <w:rPr>
          <w:bCs/>
        </w:rPr>
        <w:fldChar w:fldCharType="end"/>
      </w:r>
      <w:r>
        <w:rPr>
          <w:bCs/>
        </w:rPr>
        <w:t>.  Le</w:t>
      </w:r>
      <w:r w:rsidRPr="00C014E9">
        <w:rPr>
          <w:bCs/>
        </w:rPr>
        <w:t xml:space="preserve"> Gouvernement rappelle que la Cour constitutionnelle a jugé que l</w:t>
      </w:r>
      <w:r>
        <w:rPr>
          <w:bCs/>
        </w:rPr>
        <w:t>’</w:t>
      </w:r>
      <w:r w:rsidRPr="00C014E9">
        <w:rPr>
          <w:bCs/>
        </w:rPr>
        <w:t>intervention du législateur n</w:t>
      </w:r>
      <w:r>
        <w:rPr>
          <w:bCs/>
        </w:rPr>
        <w:t>’</w:t>
      </w:r>
      <w:r w:rsidRPr="00C014E9">
        <w:rPr>
          <w:bCs/>
        </w:rPr>
        <w:t>était contraire ni à la Constituti</w:t>
      </w:r>
      <w:r>
        <w:rPr>
          <w:bCs/>
        </w:rPr>
        <w:t>on italienne ni à la Convention et que</w:t>
      </w:r>
      <w:r w:rsidRPr="00C014E9">
        <w:rPr>
          <w:bCs/>
        </w:rPr>
        <w:t>la Cour de cassation, à la suite l</w:t>
      </w:r>
      <w:r>
        <w:rPr>
          <w:bCs/>
        </w:rPr>
        <w:t>’</w:t>
      </w:r>
      <w:r w:rsidRPr="00C014E9">
        <w:rPr>
          <w:bCs/>
        </w:rPr>
        <w:t xml:space="preserve">arrêt de la CJUE, a renvoyé la procédure </w:t>
      </w:r>
      <w:r>
        <w:rPr>
          <w:bCs/>
        </w:rPr>
        <w:t>devant les</w:t>
      </w:r>
      <w:r w:rsidRPr="00C014E9">
        <w:rPr>
          <w:bCs/>
        </w:rPr>
        <w:t xml:space="preserve"> cours d</w:t>
      </w:r>
      <w:r>
        <w:rPr>
          <w:bCs/>
        </w:rPr>
        <w:t>’</w:t>
      </w:r>
      <w:r w:rsidRPr="00C014E9">
        <w:rPr>
          <w:bCs/>
        </w:rPr>
        <w:t>appels afin q</w:t>
      </w:r>
      <w:r>
        <w:rPr>
          <w:bCs/>
        </w:rPr>
        <w:t>ue celles-ci</w:t>
      </w:r>
      <w:r w:rsidRPr="00C014E9">
        <w:rPr>
          <w:bCs/>
        </w:rPr>
        <w:t xml:space="preserve"> évaluent si, dans les cas d</w:t>
      </w:r>
      <w:r>
        <w:rPr>
          <w:bCs/>
        </w:rPr>
        <w:t>’</w:t>
      </w:r>
      <w:r w:rsidRPr="00C014E9">
        <w:rPr>
          <w:bCs/>
        </w:rPr>
        <w:t>espèce, les requér</w:t>
      </w:r>
      <w:r>
        <w:rPr>
          <w:bCs/>
        </w:rPr>
        <w:t>ants avaient effectivement subi</w:t>
      </w:r>
      <w:r w:rsidRPr="00C014E9">
        <w:rPr>
          <w:bCs/>
        </w:rPr>
        <w:t xml:space="preserve"> une régression salariale.</w:t>
      </w:r>
    </w:p>
    <w:p w:rsidR="00A45023" w:rsidRPr="00A4140C" w:rsidRDefault="00A45023" w:rsidP="00C014E9">
      <w:pPr>
        <w:pStyle w:val="ECHRHeading3"/>
      </w:pPr>
      <w:r>
        <w:t xml:space="preserve">2. </w:t>
      </w:r>
      <w:r w:rsidRPr="00A4140C">
        <w:t>Appréciation de la Cour</w:t>
      </w:r>
    </w:p>
    <w:p w:rsidR="00A45023" w:rsidRPr="00C154CF" w:rsidRDefault="00A45023" w:rsidP="00C154CF">
      <w:pPr>
        <w:pStyle w:val="ECHRPara"/>
        <w:rPr>
          <w:i/>
        </w:rPr>
      </w:pPr>
      <w:r w:rsidRPr="00A4140C">
        <w:rPr>
          <w:bCs/>
          <w:szCs w:val="28"/>
        </w:rPr>
        <w:fldChar w:fldCharType="begin"/>
      </w:r>
      <w:r w:rsidRPr="00A4140C">
        <w:rPr>
          <w:bCs/>
          <w:szCs w:val="28"/>
        </w:rPr>
        <w:instrText xml:space="preserve"> SEQ level0 \*arabic </w:instrText>
      </w:r>
      <w:r w:rsidRPr="00A4140C">
        <w:rPr>
          <w:bCs/>
          <w:szCs w:val="28"/>
        </w:rPr>
        <w:fldChar w:fldCharType="separate"/>
      </w:r>
      <w:r>
        <w:rPr>
          <w:bCs/>
          <w:noProof/>
          <w:szCs w:val="28"/>
        </w:rPr>
        <w:t>22</w:t>
      </w:r>
      <w:r w:rsidRPr="00A4140C">
        <w:rPr>
          <w:bCs/>
          <w:szCs w:val="28"/>
        </w:rPr>
        <w:fldChar w:fldCharType="end"/>
      </w:r>
      <w:r w:rsidRPr="00A4140C">
        <w:rPr>
          <w:bCs/>
          <w:szCs w:val="28"/>
        </w:rPr>
        <w:t>.  </w:t>
      </w:r>
      <w:r w:rsidRPr="00C154CF">
        <w:t xml:space="preserve">La Cour rappelle avoir conclu, dans </w:t>
      </w:r>
      <w:r>
        <w:t>des</w:t>
      </w:r>
      <w:r w:rsidRPr="00C154CF">
        <w:t xml:space="preserve"> affaires soulevant des questions semblables à celles de la présente espèce, à la violation de l</w:t>
      </w:r>
      <w:r>
        <w:t>’</w:t>
      </w:r>
      <w:r w:rsidRPr="00C154CF">
        <w:t>article 6 § 1 de la Convention (</w:t>
      </w:r>
      <w:r w:rsidRPr="008C335C">
        <w:rPr>
          <w:i/>
        </w:rPr>
        <w:t>Agrati et autres c. Italie</w:t>
      </w:r>
      <w:r w:rsidRPr="008C335C">
        <w:t>, n</w:t>
      </w:r>
      <w:r w:rsidRPr="008C335C">
        <w:rPr>
          <w:vertAlign w:val="superscript"/>
        </w:rPr>
        <w:t>os</w:t>
      </w:r>
      <w:r w:rsidRPr="008C335C">
        <w:t xml:space="preserve"> 43549/08, 6107/09 et 5087/09</w:t>
      </w:r>
      <w:r w:rsidRPr="008C335C">
        <w:rPr>
          <w:snapToGrid w:val="0"/>
          <w:szCs w:val="24"/>
        </w:rPr>
        <w:t xml:space="preserve">, 7 </w:t>
      </w:r>
      <w:r w:rsidRPr="008C335C">
        <w:rPr>
          <w:szCs w:val="24"/>
        </w:rPr>
        <w:t>juin</w:t>
      </w:r>
      <w:r w:rsidRPr="008C335C">
        <w:rPr>
          <w:snapToGrid w:val="0"/>
          <w:szCs w:val="24"/>
        </w:rPr>
        <w:t xml:space="preserve"> 2011</w:t>
      </w:r>
      <w:r>
        <w:rPr>
          <w:snapToGrid w:val="0"/>
          <w:szCs w:val="24"/>
        </w:rPr>
        <w:t xml:space="preserve">, </w:t>
      </w:r>
      <w:r w:rsidRPr="008C335C">
        <w:rPr>
          <w:i/>
        </w:rPr>
        <w:t>De Rosa c. Italie</w:t>
      </w:r>
      <w:r w:rsidRPr="008C335C">
        <w:t>, n</w:t>
      </w:r>
      <w:r w:rsidRPr="00C06B2C">
        <w:rPr>
          <w:vertAlign w:val="superscript"/>
        </w:rPr>
        <w:t>os</w:t>
      </w:r>
      <w:r w:rsidRPr="008C335C">
        <w:t>. 52888/08, 58528/08, 59194/08, 60462/08, 60473/08, 60628/08, 61116/08, 61131/08, 61139/08, 61143/08, 610/09, 4995/09, 5068/09 et 5141/09</w:t>
      </w:r>
      <w:r w:rsidRPr="008C335C">
        <w:rPr>
          <w:snapToGrid w:val="0"/>
        </w:rPr>
        <w:t xml:space="preserve">, 11 </w:t>
      </w:r>
      <w:r w:rsidRPr="008C335C">
        <w:t>décembre</w:t>
      </w:r>
      <w:r w:rsidRPr="008C335C">
        <w:rPr>
          <w:snapToGrid w:val="0"/>
        </w:rPr>
        <w:t xml:space="preserve"> 2012</w:t>
      </w:r>
      <w:r w:rsidRPr="00C154CF">
        <w:t>). Après avoir examiné tous les éléments qui lui ont été soumis en l</w:t>
      </w:r>
      <w:r>
        <w:t>’</w:t>
      </w:r>
      <w:r w:rsidRPr="00C154CF">
        <w:t>espèce, elle considère que le Gouvernement n</w:t>
      </w:r>
      <w:r>
        <w:t>’</w:t>
      </w:r>
      <w:r w:rsidRPr="00C154CF">
        <w:t>a exposé aucun fait ni argument pouvant mener à une conclusion différente dans la présente affaire. Compte tenu de sa jurisprudence en la matière, elle estime qu</w:t>
      </w:r>
      <w:r>
        <w:t>’</w:t>
      </w:r>
      <w:r w:rsidRPr="00C154CF">
        <w:t>en</w:t>
      </w:r>
      <w:r>
        <w:t xml:space="preserve"> l’espèce</w:t>
      </w:r>
      <w:r w:rsidRPr="00A4140C">
        <w:rPr>
          <w:bCs/>
          <w:szCs w:val="28"/>
        </w:rPr>
        <w:t>l</w:t>
      </w:r>
      <w:r>
        <w:rPr>
          <w:bCs/>
          <w:szCs w:val="28"/>
        </w:rPr>
        <w:t>’</w:t>
      </w:r>
      <w:r w:rsidRPr="00A4140C">
        <w:rPr>
          <w:bCs/>
          <w:szCs w:val="28"/>
        </w:rPr>
        <w:t xml:space="preserve">intervention législative litigieuse, qui visait à régler définitivement et de manière rétroactive, le fond </w:t>
      </w:r>
      <w:r>
        <w:rPr>
          <w:bCs/>
          <w:szCs w:val="28"/>
        </w:rPr>
        <w:t>du litige</w:t>
      </w:r>
      <w:r w:rsidRPr="00A4140C">
        <w:rPr>
          <w:bCs/>
          <w:szCs w:val="28"/>
        </w:rPr>
        <w:t xml:space="preserve"> opposant </w:t>
      </w:r>
      <w:r>
        <w:rPr>
          <w:bCs/>
          <w:szCs w:val="28"/>
        </w:rPr>
        <w:t>la requérante</w:t>
      </w:r>
      <w:r w:rsidRPr="00A4140C">
        <w:rPr>
          <w:bCs/>
          <w:szCs w:val="28"/>
        </w:rPr>
        <w:t xml:space="preserve"> à l</w:t>
      </w:r>
      <w:r>
        <w:rPr>
          <w:bCs/>
          <w:szCs w:val="28"/>
        </w:rPr>
        <w:t>’</w:t>
      </w:r>
      <w:r w:rsidRPr="00A4140C">
        <w:rPr>
          <w:bCs/>
          <w:szCs w:val="28"/>
        </w:rPr>
        <w:t>Etat devant les juridictions internes, n</w:t>
      </w:r>
      <w:r>
        <w:rPr>
          <w:bCs/>
          <w:szCs w:val="28"/>
        </w:rPr>
        <w:t>’</w:t>
      </w:r>
      <w:r w:rsidRPr="00A4140C">
        <w:rPr>
          <w:bCs/>
          <w:szCs w:val="28"/>
        </w:rPr>
        <w:t>était pas justifiée par d</w:t>
      </w:r>
      <w:r>
        <w:rPr>
          <w:bCs/>
          <w:szCs w:val="28"/>
        </w:rPr>
        <w:t>’</w:t>
      </w:r>
      <w:r w:rsidRPr="00A4140C">
        <w:rPr>
          <w:bCs/>
          <w:szCs w:val="28"/>
        </w:rPr>
        <w:t>impérieux motifs d</w:t>
      </w:r>
      <w:r>
        <w:rPr>
          <w:bCs/>
          <w:szCs w:val="28"/>
        </w:rPr>
        <w:t>’</w:t>
      </w:r>
      <w:r w:rsidRPr="00A4140C">
        <w:rPr>
          <w:bCs/>
          <w:szCs w:val="28"/>
        </w:rPr>
        <w:t>intérêt général.</w:t>
      </w:r>
    </w:p>
    <w:p w:rsidR="00A45023" w:rsidRPr="00A4140C" w:rsidRDefault="00A45023" w:rsidP="00C014E9">
      <w:pPr>
        <w:pStyle w:val="ECHRPara"/>
        <w:rPr>
          <w:bCs/>
          <w:szCs w:val="28"/>
        </w:rPr>
      </w:pPr>
      <w:r w:rsidRPr="00A4140C">
        <w:rPr>
          <w:bCs/>
          <w:szCs w:val="28"/>
        </w:rPr>
        <w:fldChar w:fldCharType="begin"/>
      </w:r>
      <w:r w:rsidRPr="00A4140C">
        <w:rPr>
          <w:bCs/>
          <w:szCs w:val="28"/>
        </w:rPr>
        <w:instrText xml:space="preserve"> SEQ level0 \*arabic </w:instrText>
      </w:r>
      <w:r w:rsidRPr="00A4140C">
        <w:rPr>
          <w:bCs/>
          <w:szCs w:val="28"/>
        </w:rPr>
        <w:fldChar w:fldCharType="separate"/>
      </w:r>
      <w:r>
        <w:rPr>
          <w:bCs/>
          <w:noProof/>
          <w:szCs w:val="28"/>
        </w:rPr>
        <w:t>23</w:t>
      </w:r>
      <w:r w:rsidRPr="00A4140C">
        <w:rPr>
          <w:bCs/>
          <w:szCs w:val="28"/>
        </w:rPr>
        <w:fldChar w:fldCharType="end"/>
      </w:r>
      <w:r w:rsidRPr="00A4140C">
        <w:rPr>
          <w:bCs/>
          <w:szCs w:val="28"/>
        </w:rPr>
        <w:t>.  Partant, la Cour conclut à la violation de l</w:t>
      </w:r>
      <w:r>
        <w:rPr>
          <w:bCs/>
          <w:szCs w:val="28"/>
        </w:rPr>
        <w:t>’</w:t>
      </w:r>
      <w:r w:rsidRPr="00A4140C">
        <w:rPr>
          <w:bCs/>
          <w:szCs w:val="28"/>
        </w:rPr>
        <w:t>article 6 § 1 de la Convention.</w:t>
      </w:r>
    </w:p>
    <w:p w:rsidR="00A45023" w:rsidRPr="00685582" w:rsidRDefault="00A45023">
      <w:pPr>
        <w:pStyle w:val="ECHRHeading1"/>
      </w:pPr>
      <w:r>
        <w:t>II</w:t>
      </w:r>
      <w:r w:rsidRPr="00685582">
        <w:t>.  SUR L</w:t>
      </w:r>
      <w:r>
        <w:t>’</w:t>
      </w:r>
      <w:r w:rsidRPr="00685582">
        <w:t>APPLICATION DE L</w:t>
      </w:r>
      <w:r>
        <w:t>’</w:t>
      </w:r>
      <w:r w:rsidRPr="00685582">
        <w:t>ARTICLE 41 DE LA CONVENTION</w:t>
      </w:r>
    </w:p>
    <w:p w:rsidR="00A45023" w:rsidRPr="00685582" w:rsidRDefault="00A45023" w:rsidP="00B33C50">
      <w:pPr>
        <w:pStyle w:val="ECHRPara"/>
        <w:keepNext/>
        <w:keepLines/>
        <w:outlineLvl w:val="0"/>
      </w:pPr>
      <w:fldSimple w:instr=" SEQ level0 \*arabic ">
        <w:r>
          <w:rPr>
            <w:noProof/>
          </w:rPr>
          <w:t>24</w:t>
        </w:r>
      </w:fldSimple>
      <w:r w:rsidRPr="00685582">
        <w:t>.  Aux termes de l</w:t>
      </w:r>
      <w:r>
        <w:t>’</w:t>
      </w:r>
      <w:r w:rsidRPr="00685582">
        <w:t>article 41 de la Convention,</w:t>
      </w:r>
    </w:p>
    <w:p w:rsidR="00A45023" w:rsidRPr="00685582" w:rsidRDefault="00A45023">
      <w:pPr>
        <w:pStyle w:val="ECHRParaQuote"/>
        <w:keepNext/>
        <w:keepLines/>
      </w:pPr>
      <w:r w:rsidRPr="00685582">
        <w:t>« Si la Cour déclare qu</w:t>
      </w:r>
      <w:r>
        <w:t>’</w:t>
      </w:r>
      <w:r w:rsidRPr="00685582">
        <w:t>il y a eu violation de la Convention ou de ses Protocoles, et si le droit interne de la Haute Partie contractante ne permet d</w:t>
      </w:r>
      <w:r>
        <w:t>’</w:t>
      </w:r>
      <w:r w:rsidRPr="00685582">
        <w:t>effacer qu</w:t>
      </w:r>
      <w:r>
        <w:t>’</w:t>
      </w:r>
      <w:r w:rsidRPr="00685582">
        <w:t>imparfaitement les conséquences de cette violation, la Cour accorde à la partie lésée, s</w:t>
      </w:r>
      <w:r>
        <w:t>’</w:t>
      </w:r>
      <w:r w:rsidRPr="00685582">
        <w:t>il y a lieu, une satisfaction équitable. »</w:t>
      </w:r>
    </w:p>
    <w:p w:rsidR="00A45023" w:rsidRPr="00685582" w:rsidRDefault="00A45023" w:rsidP="000A7B4A">
      <w:pPr>
        <w:pStyle w:val="ECHRHeading2"/>
        <w:outlineLvl w:val="0"/>
      </w:pPr>
      <w:r w:rsidRPr="00685582">
        <w:t>A.  Dommage</w:t>
      </w:r>
    </w:p>
    <w:p w:rsidR="00A45023" w:rsidRPr="00685582" w:rsidRDefault="00A45023" w:rsidP="000A7B4A">
      <w:pPr>
        <w:pStyle w:val="ECHRPara"/>
      </w:pPr>
      <w:fldSimple w:instr=" SEQ level0 \*arabic ">
        <w:r>
          <w:rPr>
            <w:noProof/>
          </w:rPr>
          <w:t>25</w:t>
        </w:r>
      </w:fldSimple>
      <w:r w:rsidRPr="00685582">
        <w:t>.  </w:t>
      </w:r>
      <w:r>
        <w:t>La requérante réclameune indemnité forfaitaire de 10 000 EUR.</w:t>
      </w:r>
    </w:p>
    <w:p w:rsidR="00A45023" w:rsidRDefault="00A45023" w:rsidP="000A7B4A">
      <w:pPr>
        <w:pStyle w:val="ECHRPara"/>
        <w:outlineLvl w:val="0"/>
      </w:pPr>
      <w:fldSimple w:instr=" SEQ level0 \*arabic ">
        <w:r>
          <w:rPr>
            <w:noProof/>
          </w:rPr>
          <w:t>26</w:t>
        </w:r>
      </w:fldSimple>
      <w:r w:rsidRPr="00685582">
        <w:t xml:space="preserve">.  Le Gouvernement </w:t>
      </w:r>
      <w:r>
        <w:t>fait valoir que la requérante n’indique pas quel préjudice elle aurait subi suite à l’application de la loi litigieuse</w:t>
      </w:r>
      <w:r w:rsidRPr="00685582">
        <w:t>.</w:t>
      </w:r>
    </w:p>
    <w:p w:rsidR="00A45023" w:rsidRDefault="00A45023" w:rsidP="000A7B4A">
      <w:pPr>
        <w:pStyle w:val="ECHRPara"/>
        <w:rPr>
          <w:rFonts w:eastAsia="Arial Unicode MS"/>
        </w:rPr>
      </w:pPr>
      <w:fldSimple w:instr=" SEQ level0 \*arabic ">
        <w:r>
          <w:rPr>
            <w:noProof/>
          </w:rPr>
          <w:t>27</w:t>
        </w:r>
      </w:fldSimple>
      <w:r w:rsidRPr="00685582">
        <w:t>.  </w:t>
      </w:r>
      <w:r w:rsidRPr="00743118">
        <w:t xml:space="preserve">La Cour note que </w:t>
      </w:r>
      <w:r>
        <w:rPr>
          <w:rFonts w:eastAsia="Arial Unicode MS"/>
        </w:rPr>
        <w:t>la requérante</w:t>
      </w:r>
      <w:r w:rsidRPr="00743118">
        <w:rPr>
          <w:rFonts w:eastAsia="Arial Unicode MS"/>
        </w:rPr>
        <w:t xml:space="preserve"> demande une réparation de </w:t>
      </w:r>
      <w:r>
        <w:rPr>
          <w:rFonts w:eastAsia="Arial Unicode MS"/>
        </w:rPr>
        <w:t xml:space="preserve">son </w:t>
      </w:r>
      <w:r w:rsidRPr="00743118">
        <w:rPr>
          <w:rFonts w:eastAsia="Arial Unicode MS"/>
        </w:rPr>
        <w:t>dommage matériel mais ne présente</w:t>
      </w:r>
      <w:r>
        <w:rPr>
          <w:rFonts w:eastAsia="Arial Unicode MS"/>
        </w:rPr>
        <w:t>aucun élément permettant de le calculer. Par conséquent, elle estime qu’il n’y a pas lieu d’octroyer une somme à ce titre.</w:t>
      </w:r>
    </w:p>
    <w:p w:rsidR="00A45023" w:rsidRDefault="00A45023" w:rsidP="000A7B4A">
      <w:pPr>
        <w:pStyle w:val="ECHRPara"/>
        <w:rPr>
          <w:rFonts w:eastAsia="Arial Unicode MS"/>
        </w:rPr>
      </w:pPr>
      <w:r>
        <w:rPr>
          <w:rFonts w:eastAsia="Arial Unicode MS"/>
        </w:rPr>
        <w:fldChar w:fldCharType="begin"/>
      </w:r>
      <w:r>
        <w:rPr>
          <w:rFonts w:eastAsia="Arial Unicode MS"/>
        </w:rPr>
        <w:instrText xml:space="preserve"> SEQ level0 \*arabic </w:instrText>
      </w:r>
      <w:r>
        <w:rPr>
          <w:rFonts w:eastAsia="Arial Unicode MS"/>
        </w:rPr>
        <w:fldChar w:fldCharType="separate"/>
      </w:r>
      <w:r>
        <w:rPr>
          <w:rFonts w:eastAsia="Arial Unicode MS"/>
          <w:noProof/>
        </w:rPr>
        <w:t>28</w:t>
      </w:r>
      <w:r>
        <w:rPr>
          <w:rFonts w:eastAsia="Arial Unicode MS"/>
        </w:rPr>
        <w:fldChar w:fldCharType="end"/>
      </w:r>
      <w:r>
        <w:rPr>
          <w:rFonts w:eastAsia="Arial Unicode MS"/>
        </w:rPr>
        <w:t>.  </w:t>
      </w:r>
      <w:r w:rsidRPr="00743118">
        <w:rPr>
          <w:rFonts w:eastAsia="Arial Unicode MS"/>
        </w:rPr>
        <w:t xml:space="preserve">Quant au dommage moral, la Cour estime que le constat de violation auquel elle est parvenue constitue en soi une satisfaction équitable pour le préjudice </w:t>
      </w:r>
      <w:r>
        <w:rPr>
          <w:rFonts w:eastAsia="Arial Unicode MS"/>
        </w:rPr>
        <w:t>moral subi par la requérante.</w:t>
      </w:r>
    </w:p>
    <w:p w:rsidR="00A45023" w:rsidRPr="00685582" w:rsidRDefault="00A45023" w:rsidP="000A7B4A">
      <w:pPr>
        <w:pStyle w:val="ECHRHeading2"/>
        <w:outlineLvl w:val="0"/>
      </w:pPr>
      <w:r w:rsidRPr="00685582">
        <w:t>B.  Frais et dépens</w:t>
      </w:r>
    </w:p>
    <w:p w:rsidR="00A45023" w:rsidRPr="002A4A4B" w:rsidRDefault="00A45023" w:rsidP="000A7B4A">
      <w:pPr>
        <w:pStyle w:val="ECHRPara"/>
      </w:pPr>
      <w:fldSimple w:instr=" SEQ level0 \*arabic ">
        <w:r>
          <w:rPr>
            <w:noProof/>
          </w:rPr>
          <w:t>29</w:t>
        </w:r>
      </w:fldSimple>
      <w:r w:rsidRPr="002A4A4B">
        <w:t>.  </w:t>
      </w:r>
      <w:r>
        <w:t>La requérante demande3 </w:t>
      </w:r>
      <w:r w:rsidRPr="002A4A4B">
        <w:t>000 EUR pour les frais et dépens engagés devant la Cour.</w:t>
      </w:r>
    </w:p>
    <w:p w:rsidR="00A45023" w:rsidRDefault="00A45023" w:rsidP="000A7B4A">
      <w:pPr>
        <w:pStyle w:val="ECHRPara"/>
      </w:pPr>
      <w:fldSimple w:instr=" SEQ level0 \*arabic ">
        <w:r>
          <w:rPr>
            <w:noProof/>
          </w:rPr>
          <w:t>30</w:t>
        </w:r>
      </w:fldSimple>
      <w:r>
        <w:t xml:space="preserve">.  Le Gouvernement </w:t>
      </w:r>
      <w:r w:rsidRPr="002A4A4B">
        <w:t>s</w:t>
      </w:r>
      <w:r>
        <w:t>’</w:t>
      </w:r>
      <w:r w:rsidRPr="002A4A4B">
        <w:t>y oppose.</w:t>
      </w:r>
    </w:p>
    <w:p w:rsidR="00A45023" w:rsidRPr="002A4A4B" w:rsidRDefault="00A45023" w:rsidP="00D91499">
      <w:pPr>
        <w:pStyle w:val="ECHRPara"/>
      </w:pPr>
      <w:fldSimple w:instr=" SEQ level0 \*arabic ">
        <w:r>
          <w:rPr>
            <w:noProof/>
          </w:rPr>
          <w:t>31</w:t>
        </w:r>
      </w:fldSimple>
      <w:r>
        <w:t>.  </w:t>
      </w:r>
      <w:r w:rsidRPr="000A7B4A">
        <w:t xml:space="preserve">Selon la jurisprudence de la Cour, un requérant ne peut obtenir le remboursement de ses frais et dépens que dans la mesure où se trouvent établis leur réalité, leur nécessité et le caractère raisonnable de leur taux. La Cour estime raisonnable la somme de </w:t>
      </w:r>
      <w:r>
        <w:t>1 000</w:t>
      </w:r>
      <w:r w:rsidRPr="000A7B4A">
        <w:t> EUR pour les frais et dépens engagés dans la procédu</w:t>
      </w:r>
      <w:r>
        <w:t>re devant elle et l’accorde à la requérante.</w:t>
      </w:r>
    </w:p>
    <w:p w:rsidR="00A45023" w:rsidRPr="00685582" w:rsidRDefault="00A45023" w:rsidP="000A7B4A">
      <w:pPr>
        <w:pStyle w:val="ECHRHeading2"/>
        <w:outlineLvl w:val="0"/>
      </w:pPr>
      <w:r w:rsidRPr="00685582">
        <w:t>C.  Intérêts moratoires</w:t>
      </w:r>
    </w:p>
    <w:p w:rsidR="00A45023" w:rsidRPr="00685582" w:rsidRDefault="00A45023" w:rsidP="000A7B4A">
      <w:pPr>
        <w:pStyle w:val="ECHRPara"/>
      </w:pPr>
      <w:fldSimple w:instr=" SEQ level0 \*arabic ">
        <w:r>
          <w:rPr>
            <w:noProof/>
          </w:rPr>
          <w:t>32</w:t>
        </w:r>
      </w:fldSimple>
      <w:r w:rsidRPr="00685582">
        <w:t>.  La Cour juge approprié de calquer le taux des intérêts moratoires sur le taux d</w:t>
      </w:r>
      <w:r>
        <w:t>’</w:t>
      </w:r>
      <w:r w:rsidRPr="00685582">
        <w:t>intérêt de la facilité de prêt marginal de la Banque centrale européenne majoré de trois points de pourcentage.</w:t>
      </w:r>
    </w:p>
    <w:p w:rsidR="00A45023" w:rsidRPr="00685582" w:rsidRDefault="00A45023" w:rsidP="000A7B4A">
      <w:pPr>
        <w:pStyle w:val="ECHRTitle1"/>
      </w:pPr>
      <w:r w:rsidRPr="00685582">
        <w:t>PAR CES MOTIFS, LA COUR À L</w:t>
      </w:r>
      <w:r>
        <w:t>’</w:t>
      </w:r>
      <w:r w:rsidRPr="00685582">
        <w:t>UNANIMITÉ,</w:t>
      </w:r>
    </w:p>
    <w:p w:rsidR="00A45023" w:rsidRDefault="00A45023" w:rsidP="000A7B4A">
      <w:pPr>
        <w:pStyle w:val="JuList"/>
      </w:pPr>
      <w:r>
        <w:t>1</w:t>
      </w:r>
      <w:r w:rsidRPr="00743118">
        <w:t>.  </w:t>
      </w:r>
      <w:r w:rsidRPr="00743118">
        <w:rPr>
          <w:i/>
          <w:iCs/>
        </w:rPr>
        <w:t>Déclare</w:t>
      </w:r>
      <w:r>
        <w:t>la requête recevable ;</w:t>
      </w:r>
    </w:p>
    <w:p w:rsidR="00A45023" w:rsidRPr="00743118" w:rsidRDefault="00A45023" w:rsidP="000A7B4A">
      <w:pPr>
        <w:pStyle w:val="JuList"/>
      </w:pPr>
    </w:p>
    <w:p w:rsidR="00A45023" w:rsidRPr="00743118" w:rsidRDefault="00A45023" w:rsidP="000A7B4A">
      <w:pPr>
        <w:pStyle w:val="JuList"/>
      </w:pPr>
      <w:r>
        <w:t>2</w:t>
      </w:r>
      <w:r w:rsidRPr="00743118">
        <w:t>.  </w:t>
      </w:r>
      <w:r w:rsidRPr="00743118">
        <w:rPr>
          <w:i/>
        </w:rPr>
        <w:t>Dit</w:t>
      </w:r>
      <w:r w:rsidRPr="00743118">
        <w:t xml:space="preserve"> qu</w:t>
      </w:r>
      <w:r>
        <w:t>’</w:t>
      </w:r>
      <w:r w:rsidRPr="00743118">
        <w:t>il y a eu violation de l</w:t>
      </w:r>
      <w:r>
        <w:t>’</w:t>
      </w:r>
      <w:r w:rsidRPr="00743118">
        <w:t>article 6 § 1 de la Convention ;</w:t>
      </w:r>
    </w:p>
    <w:p w:rsidR="00A45023" w:rsidRPr="00743118" w:rsidRDefault="00A45023" w:rsidP="000A7B4A">
      <w:pPr>
        <w:pStyle w:val="JuList"/>
      </w:pPr>
    </w:p>
    <w:p w:rsidR="00A45023" w:rsidRDefault="00A45023" w:rsidP="000A7B4A">
      <w:pPr>
        <w:pStyle w:val="JuList"/>
      </w:pPr>
      <w:r>
        <w:t>3</w:t>
      </w:r>
      <w:r w:rsidRPr="00685582">
        <w:t>.  </w:t>
      </w:r>
      <w:r w:rsidRPr="00685582">
        <w:rPr>
          <w:i/>
        </w:rPr>
        <w:t>Dit</w:t>
      </w:r>
    </w:p>
    <w:p w:rsidR="00A45023" w:rsidRPr="00685582" w:rsidRDefault="00A45023" w:rsidP="000A7B4A">
      <w:pPr>
        <w:pStyle w:val="JuLista"/>
        <w:rPr>
          <w:lang w:eastAsia="en-GB"/>
        </w:rPr>
      </w:pPr>
      <w:r w:rsidRPr="00685582">
        <w:t>a)  que l</w:t>
      </w:r>
      <w:r>
        <w:t>’</w:t>
      </w:r>
      <w:r w:rsidRPr="00685582">
        <w:t xml:space="preserve">Etat défendeur doit verser </w:t>
      </w:r>
      <w:r>
        <w:t>à la requérante</w:t>
      </w:r>
      <w:r w:rsidRPr="00685582">
        <w:t xml:space="preserve">, dans les trois mois, </w:t>
      </w:r>
      <w:r>
        <w:t>1000</w:t>
      </w:r>
      <w:r w:rsidRPr="00685582">
        <w:rPr>
          <w:lang w:eastAsia="en-GB"/>
        </w:rPr>
        <w:t xml:space="preserve"> EUR (</w:t>
      </w:r>
      <w:r>
        <w:rPr>
          <w:lang w:eastAsia="en-GB"/>
        </w:rPr>
        <w:t>mille</w:t>
      </w:r>
      <w:r w:rsidRPr="00685582">
        <w:rPr>
          <w:lang w:eastAsia="en-GB"/>
        </w:rPr>
        <w:t xml:space="preserve"> euros), plus tout montant pouvant être dû à titre d</w:t>
      </w:r>
      <w:r>
        <w:rPr>
          <w:lang w:eastAsia="en-GB"/>
        </w:rPr>
        <w:t>’</w:t>
      </w:r>
      <w:r w:rsidRPr="00685582">
        <w:rPr>
          <w:lang w:eastAsia="en-GB"/>
        </w:rPr>
        <w:t>impôt par le</w:t>
      </w:r>
      <w:r>
        <w:rPr>
          <w:lang w:eastAsia="en-GB"/>
        </w:rPr>
        <w:t>s</w:t>
      </w:r>
      <w:r w:rsidRPr="00685582">
        <w:rPr>
          <w:lang w:eastAsia="en-GB"/>
        </w:rPr>
        <w:t xml:space="preserve"> requérant</w:t>
      </w:r>
      <w:r>
        <w:rPr>
          <w:lang w:eastAsia="en-GB"/>
        </w:rPr>
        <w:t>s</w:t>
      </w:r>
      <w:r w:rsidRPr="00685582">
        <w:rPr>
          <w:lang w:eastAsia="en-GB"/>
        </w:rPr>
        <w:t>, pour frais et dépens ;</w:t>
      </w:r>
    </w:p>
    <w:p w:rsidR="00A45023" w:rsidRDefault="00A45023" w:rsidP="000A7B4A">
      <w:pPr>
        <w:pStyle w:val="JuLista"/>
      </w:pPr>
      <w:r w:rsidRPr="00685582">
        <w:t>b)  qu</w:t>
      </w:r>
      <w:r>
        <w:t>’</w:t>
      </w:r>
      <w:r w:rsidRPr="00685582">
        <w:t>à compter de l</w:t>
      </w:r>
      <w:r>
        <w:t>’</w:t>
      </w:r>
      <w:r w:rsidRPr="00685582">
        <w:t>expiration dudit délai et jusqu</w:t>
      </w:r>
      <w:r>
        <w:t>’</w:t>
      </w:r>
      <w:r w:rsidRPr="00685582">
        <w:t>au versement, ces montants seront à majorer d</w:t>
      </w:r>
      <w:r>
        <w:t>’</w:t>
      </w:r>
      <w:r w:rsidRPr="00685582">
        <w:t>un intérêt simple à un taux égal à celui de la facilité de prêt marginal de la Banque centrale européenne applicable pendant cette période, augmenté de trois points de pourcentage ;</w:t>
      </w:r>
    </w:p>
    <w:p w:rsidR="00A45023" w:rsidRPr="00685582" w:rsidRDefault="00A45023" w:rsidP="000A7B4A">
      <w:pPr>
        <w:pStyle w:val="JuLista"/>
      </w:pPr>
    </w:p>
    <w:p w:rsidR="00A45023" w:rsidRPr="00685582" w:rsidRDefault="00A45023">
      <w:pPr>
        <w:pStyle w:val="JuList"/>
      </w:pPr>
      <w:r>
        <w:t>4</w:t>
      </w:r>
      <w:r w:rsidRPr="00685582">
        <w:t>.  </w:t>
      </w:r>
      <w:r w:rsidRPr="00685582">
        <w:rPr>
          <w:i/>
        </w:rPr>
        <w:t>Rejette</w:t>
      </w:r>
      <w:r w:rsidRPr="00685582">
        <w:t xml:space="preserve"> la demande de satisfaction équitable pour le surplus.</w:t>
      </w:r>
    </w:p>
    <w:p w:rsidR="00A45023" w:rsidRPr="00685582" w:rsidRDefault="00A45023" w:rsidP="00560B55">
      <w:pPr>
        <w:pStyle w:val="JuParaLast"/>
      </w:pPr>
      <w:r w:rsidRPr="00685582">
        <w:t>Fait en françai</w:t>
      </w:r>
      <w:r>
        <w:t>s, puis communiqué par écrit le13 mai 2014</w:t>
      </w:r>
      <w:r w:rsidRPr="00685582">
        <w:t>, en application de l</w:t>
      </w:r>
      <w:r>
        <w:t>’</w:t>
      </w:r>
      <w:r w:rsidRPr="00685582">
        <w:t>article 77 §§ 2 et 3 du règlement.</w:t>
      </w:r>
    </w:p>
    <w:p w:rsidR="00A45023" w:rsidRPr="00047B9D" w:rsidRDefault="00A45023" w:rsidP="00047B9D">
      <w:pPr>
        <w:pStyle w:val="JuSigned"/>
        <w:keepNext/>
        <w:keepLines/>
      </w:pPr>
      <w:r w:rsidRPr="00047B9D">
        <w:tab/>
        <w:t>Abel Campos</w:t>
      </w:r>
      <w:r w:rsidRPr="00047B9D">
        <w:tab/>
      </w:r>
      <w:r>
        <w:rPr>
          <w:szCs w:val="24"/>
        </w:rPr>
        <w:t>AndrásSajó</w:t>
      </w:r>
      <w:r w:rsidRPr="00047B9D">
        <w:br/>
      </w:r>
      <w:r w:rsidRPr="00047B9D">
        <w:tab/>
        <w:t>Greffier adjoint</w:t>
      </w:r>
      <w:r w:rsidRPr="00047B9D">
        <w:tab/>
        <w:t>Président</w:t>
      </w:r>
    </w:p>
    <w:p w:rsidR="00A45023" w:rsidRPr="00047B9D" w:rsidRDefault="00A45023" w:rsidP="00047B9D">
      <w:pPr>
        <w:pStyle w:val="JuSigned"/>
        <w:keepNext/>
        <w:keepLines/>
      </w:pPr>
    </w:p>
    <w:p w:rsidR="00A45023" w:rsidRPr="00685582" w:rsidRDefault="00A45023" w:rsidP="00047B9D">
      <w:pPr>
        <w:pStyle w:val="JuSigned"/>
        <w:keepNext/>
        <w:keepLines/>
      </w:pPr>
    </w:p>
    <w:sectPr w:rsidR="00A45023" w:rsidRPr="00685582" w:rsidSect="00092905">
      <w:headerReference w:type="even" r:id="rId10"/>
      <w:headerReference w:type="default" r:id="rId11"/>
      <w:pgSz w:w="11906" w:h="16838" w:code="9"/>
      <w:pgMar w:top="2274" w:right="2274" w:bottom="2274"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023" w:rsidRDefault="00A45023">
      <w:r>
        <w:separator/>
      </w:r>
    </w:p>
  </w:endnote>
  <w:endnote w:type="continuationSeparator" w:id="0">
    <w:p w:rsidR="00A45023" w:rsidRDefault="00A45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23" w:rsidRPr="00150BFA" w:rsidRDefault="00A45023" w:rsidP="0020718E">
    <w:pPr>
      <w:jc w:val="center"/>
    </w:pPr>
    <w:r w:rsidRPr="002176AD">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60pt;height:48.75pt;visibility:visible">
          <v:imagedata r:id="rId1" o:title=""/>
        </v:shape>
      </w:pict>
    </w:r>
  </w:p>
  <w:p w:rsidR="00A45023" w:rsidRDefault="00A450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023" w:rsidRDefault="00A45023">
      <w:r>
        <w:separator/>
      </w:r>
    </w:p>
  </w:footnote>
  <w:footnote w:type="continuationSeparator" w:id="0">
    <w:p w:rsidR="00A45023" w:rsidRDefault="00A45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23" w:rsidRPr="00092905" w:rsidRDefault="00A45023" w:rsidP="00092905">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23" w:rsidRPr="00A45145" w:rsidRDefault="00A45023" w:rsidP="00A45145">
    <w:pPr>
      <w:jc w:val="center"/>
    </w:pPr>
    <w:r w:rsidRPr="002176AD">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33.25pt;height:96pt;visibility:visible">
          <v:imagedata r:id="rId1" o:title=""/>
        </v:shape>
      </w:pict>
    </w:r>
  </w:p>
  <w:p w:rsidR="00A45023" w:rsidRDefault="00A45023" w:rsidP="00946BFB">
    <w:pPr>
      <w:pStyle w:val="ECHR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23" w:rsidRPr="00DE593D" w:rsidRDefault="00A45023" w:rsidP="00946BFB">
    <w:pPr>
      <w:pStyle w:val="ECHRHead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sidRPr="00DE593D">
      <w:rPr>
        <w:rStyle w:val="PageNumber"/>
      </w:rPr>
      <w:tab/>
    </w:r>
    <w:r>
      <w:rPr>
        <w:noProof/>
        <w:lang w:val="en-GB"/>
      </w:rPr>
      <w:t>ARRÊT</w:t>
    </w:r>
    <w:r>
      <w:t>CAPONETTO c. ITALIE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23" w:rsidRPr="00DE593D" w:rsidRDefault="00A45023" w:rsidP="00946BFB">
    <w:pPr>
      <w:pStyle w:val="ECHRHeader"/>
    </w:pPr>
    <w:r>
      <w:tab/>
    </w:r>
    <w:r>
      <w:rPr>
        <w:noProof/>
        <w:lang w:val="en-GB"/>
      </w:rPr>
      <w:t>ARRÊT</w:t>
    </w:r>
    <w:r>
      <w:t>CAPONETTO c. ITALIE</w:t>
    </w:r>
    <w:r w:rsidRPr="00DE593D">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AA222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AC189B2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90C4301E"/>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C7268F26"/>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8B809E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063F06"/>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B8150B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7D4C7E"/>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65D7306C"/>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6"/>
  </w:num>
  <w:num w:numId="13">
    <w:abstractNumId w:val="12"/>
  </w:num>
  <w:num w:numId="14">
    <w:abstractNumId w:val="10"/>
  </w:num>
  <w:num w:numId="15">
    <w:abstractNumId w:val="15"/>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13"/>
  </w:num>
  <w:num w:numId="27">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F004"/>
  <w:defaultTabStop w:val="706"/>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751658"/>
    <w:rsid w:val="00000A8E"/>
    <w:rsid w:val="00006607"/>
    <w:rsid w:val="0000732D"/>
    <w:rsid w:val="0001493E"/>
    <w:rsid w:val="00023684"/>
    <w:rsid w:val="0003067A"/>
    <w:rsid w:val="000346B8"/>
    <w:rsid w:val="00034B42"/>
    <w:rsid w:val="000372C9"/>
    <w:rsid w:val="00042DCF"/>
    <w:rsid w:val="00047B9D"/>
    <w:rsid w:val="00051DEE"/>
    <w:rsid w:val="00060909"/>
    <w:rsid w:val="00072E60"/>
    <w:rsid w:val="00076451"/>
    <w:rsid w:val="0009234F"/>
    <w:rsid w:val="00092905"/>
    <w:rsid w:val="00093432"/>
    <w:rsid w:val="0009497E"/>
    <w:rsid w:val="0009631E"/>
    <w:rsid w:val="0009688D"/>
    <w:rsid w:val="000A1ADF"/>
    <w:rsid w:val="000A3D31"/>
    <w:rsid w:val="000A4F27"/>
    <w:rsid w:val="000A7B4A"/>
    <w:rsid w:val="000B3205"/>
    <w:rsid w:val="000B54E7"/>
    <w:rsid w:val="000B7194"/>
    <w:rsid w:val="000C4043"/>
    <w:rsid w:val="000D6013"/>
    <w:rsid w:val="000E2985"/>
    <w:rsid w:val="000E4D02"/>
    <w:rsid w:val="000E78C7"/>
    <w:rsid w:val="000F08D4"/>
    <w:rsid w:val="00124D69"/>
    <w:rsid w:val="00126687"/>
    <w:rsid w:val="001352AA"/>
    <w:rsid w:val="00142DF7"/>
    <w:rsid w:val="00144F81"/>
    <w:rsid w:val="00147398"/>
    <w:rsid w:val="00150742"/>
    <w:rsid w:val="00150BFA"/>
    <w:rsid w:val="001524AA"/>
    <w:rsid w:val="001542F3"/>
    <w:rsid w:val="0016097C"/>
    <w:rsid w:val="00172CF0"/>
    <w:rsid w:val="001752B0"/>
    <w:rsid w:val="00180C7C"/>
    <w:rsid w:val="00180FFE"/>
    <w:rsid w:val="00184E3A"/>
    <w:rsid w:val="00196E64"/>
    <w:rsid w:val="001A1237"/>
    <w:rsid w:val="001F48D8"/>
    <w:rsid w:val="001F6022"/>
    <w:rsid w:val="001F6681"/>
    <w:rsid w:val="00206868"/>
    <w:rsid w:val="0020718E"/>
    <w:rsid w:val="00207248"/>
    <w:rsid w:val="00211F5F"/>
    <w:rsid w:val="002176AD"/>
    <w:rsid w:val="00220C1C"/>
    <w:rsid w:val="00221D16"/>
    <w:rsid w:val="00221D95"/>
    <w:rsid w:val="00226AB0"/>
    <w:rsid w:val="00236C5E"/>
    <w:rsid w:val="00247DD7"/>
    <w:rsid w:val="00263561"/>
    <w:rsid w:val="00274199"/>
    <w:rsid w:val="00275892"/>
    <w:rsid w:val="00282023"/>
    <w:rsid w:val="002821AD"/>
    <w:rsid w:val="0028541F"/>
    <w:rsid w:val="00287191"/>
    <w:rsid w:val="002921BB"/>
    <w:rsid w:val="0029451B"/>
    <w:rsid w:val="0029723C"/>
    <w:rsid w:val="002A27EC"/>
    <w:rsid w:val="002A4A4B"/>
    <w:rsid w:val="002B015F"/>
    <w:rsid w:val="002D020E"/>
    <w:rsid w:val="002D515F"/>
    <w:rsid w:val="002F1CE6"/>
    <w:rsid w:val="0030487C"/>
    <w:rsid w:val="00305449"/>
    <w:rsid w:val="00327411"/>
    <w:rsid w:val="003306D4"/>
    <w:rsid w:val="0033610E"/>
    <w:rsid w:val="003407D0"/>
    <w:rsid w:val="00341552"/>
    <w:rsid w:val="00350960"/>
    <w:rsid w:val="00353314"/>
    <w:rsid w:val="00360C14"/>
    <w:rsid w:val="00361E13"/>
    <w:rsid w:val="00362D1F"/>
    <w:rsid w:val="00370701"/>
    <w:rsid w:val="00381E02"/>
    <w:rsid w:val="003835A5"/>
    <w:rsid w:val="00383CB7"/>
    <w:rsid w:val="00386B91"/>
    <w:rsid w:val="0038798C"/>
    <w:rsid w:val="00387F24"/>
    <w:rsid w:val="003925CE"/>
    <w:rsid w:val="003A09B2"/>
    <w:rsid w:val="003A2663"/>
    <w:rsid w:val="003B0567"/>
    <w:rsid w:val="003B0E2E"/>
    <w:rsid w:val="003B61BC"/>
    <w:rsid w:val="003B6855"/>
    <w:rsid w:val="003C1570"/>
    <w:rsid w:val="003D2870"/>
    <w:rsid w:val="003E2D42"/>
    <w:rsid w:val="003E78B3"/>
    <w:rsid w:val="003F63FD"/>
    <w:rsid w:val="0040106E"/>
    <w:rsid w:val="0040252B"/>
    <w:rsid w:val="00402F19"/>
    <w:rsid w:val="0040406E"/>
    <w:rsid w:val="004079E9"/>
    <w:rsid w:val="00411421"/>
    <w:rsid w:val="00416D48"/>
    <w:rsid w:val="004219F0"/>
    <w:rsid w:val="004254D5"/>
    <w:rsid w:val="00425BF9"/>
    <w:rsid w:val="0043151B"/>
    <w:rsid w:val="00434618"/>
    <w:rsid w:val="00442FA9"/>
    <w:rsid w:val="00445E54"/>
    <w:rsid w:val="004563AF"/>
    <w:rsid w:val="004563E6"/>
    <w:rsid w:val="00463A7D"/>
    <w:rsid w:val="004653D9"/>
    <w:rsid w:val="0046778E"/>
    <w:rsid w:val="004702BA"/>
    <w:rsid w:val="004734A5"/>
    <w:rsid w:val="004736D2"/>
    <w:rsid w:val="00475AE5"/>
    <w:rsid w:val="00486CD2"/>
    <w:rsid w:val="004930AD"/>
    <w:rsid w:val="004932DA"/>
    <w:rsid w:val="004A01A3"/>
    <w:rsid w:val="004A0F1E"/>
    <w:rsid w:val="004A19F2"/>
    <w:rsid w:val="004C61A7"/>
    <w:rsid w:val="004C691A"/>
    <w:rsid w:val="004C7DF5"/>
    <w:rsid w:val="004E3393"/>
    <w:rsid w:val="004E4552"/>
    <w:rsid w:val="004E63CA"/>
    <w:rsid w:val="004F404D"/>
    <w:rsid w:val="004F68A7"/>
    <w:rsid w:val="00504EBB"/>
    <w:rsid w:val="0052605E"/>
    <w:rsid w:val="00527D18"/>
    <w:rsid w:val="005319B5"/>
    <w:rsid w:val="0053642D"/>
    <w:rsid w:val="005445AA"/>
    <w:rsid w:val="00547237"/>
    <w:rsid w:val="005501DA"/>
    <w:rsid w:val="00560B55"/>
    <w:rsid w:val="00561AFB"/>
    <w:rsid w:val="0057103A"/>
    <w:rsid w:val="005737E4"/>
    <w:rsid w:val="005740C2"/>
    <w:rsid w:val="005801E1"/>
    <w:rsid w:val="00583E59"/>
    <w:rsid w:val="005B51DE"/>
    <w:rsid w:val="005B7AAF"/>
    <w:rsid w:val="005E1B0C"/>
    <w:rsid w:val="005E7568"/>
    <w:rsid w:val="005E79EB"/>
    <w:rsid w:val="005F43E1"/>
    <w:rsid w:val="0061049D"/>
    <w:rsid w:val="00612896"/>
    <w:rsid w:val="00616140"/>
    <w:rsid w:val="00620817"/>
    <w:rsid w:val="006208CF"/>
    <w:rsid w:val="00626255"/>
    <w:rsid w:val="0064438C"/>
    <w:rsid w:val="00662B64"/>
    <w:rsid w:val="00665F16"/>
    <w:rsid w:val="006716C1"/>
    <w:rsid w:val="0068104D"/>
    <w:rsid w:val="00685582"/>
    <w:rsid w:val="00691DA3"/>
    <w:rsid w:val="00693A1D"/>
    <w:rsid w:val="00694356"/>
    <w:rsid w:val="0069719D"/>
    <w:rsid w:val="006A05A8"/>
    <w:rsid w:val="006A0F1E"/>
    <w:rsid w:val="006A1ADE"/>
    <w:rsid w:val="006A1F0E"/>
    <w:rsid w:val="006A5686"/>
    <w:rsid w:val="006B1877"/>
    <w:rsid w:val="006B1C83"/>
    <w:rsid w:val="006B3663"/>
    <w:rsid w:val="006E10B7"/>
    <w:rsid w:val="006E30BD"/>
    <w:rsid w:val="006E3C39"/>
    <w:rsid w:val="006F005A"/>
    <w:rsid w:val="007028E0"/>
    <w:rsid w:val="00703F0C"/>
    <w:rsid w:val="007100F2"/>
    <w:rsid w:val="00710681"/>
    <w:rsid w:val="00722806"/>
    <w:rsid w:val="007357D0"/>
    <w:rsid w:val="007400F3"/>
    <w:rsid w:val="00743118"/>
    <w:rsid w:val="00751658"/>
    <w:rsid w:val="00752D87"/>
    <w:rsid w:val="00755392"/>
    <w:rsid w:val="00760407"/>
    <w:rsid w:val="0077322C"/>
    <w:rsid w:val="0077792A"/>
    <w:rsid w:val="00780F3B"/>
    <w:rsid w:val="00781B87"/>
    <w:rsid w:val="007864E1"/>
    <w:rsid w:val="00790C2C"/>
    <w:rsid w:val="00795176"/>
    <w:rsid w:val="007A087B"/>
    <w:rsid w:val="007A1711"/>
    <w:rsid w:val="007A181F"/>
    <w:rsid w:val="007A52A8"/>
    <w:rsid w:val="007A5EDC"/>
    <w:rsid w:val="007B0925"/>
    <w:rsid w:val="007C09A5"/>
    <w:rsid w:val="007C1EF3"/>
    <w:rsid w:val="007C2E1A"/>
    <w:rsid w:val="007D5A77"/>
    <w:rsid w:val="007D7F7A"/>
    <w:rsid w:val="007E3337"/>
    <w:rsid w:val="007E34C8"/>
    <w:rsid w:val="007F6A42"/>
    <w:rsid w:val="00803644"/>
    <w:rsid w:val="00810868"/>
    <w:rsid w:val="00810883"/>
    <w:rsid w:val="00820EBB"/>
    <w:rsid w:val="00830036"/>
    <w:rsid w:val="0084755E"/>
    <w:rsid w:val="00851756"/>
    <w:rsid w:val="00867E82"/>
    <w:rsid w:val="0088729A"/>
    <w:rsid w:val="0089356C"/>
    <w:rsid w:val="008A0122"/>
    <w:rsid w:val="008A3F4D"/>
    <w:rsid w:val="008A5CA3"/>
    <w:rsid w:val="008B458A"/>
    <w:rsid w:val="008B6085"/>
    <w:rsid w:val="008C335C"/>
    <w:rsid w:val="008C6E3C"/>
    <w:rsid w:val="008C7FEF"/>
    <w:rsid w:val="008D61D1"/>
    <w:rsid w:val="008F1891"/>
    <w:rsid w:val="008F1D67"/>
    <w:rsid w:val="008F39FB"/>
    <w:rsid w:val="0090220E"/>
    <w:rsid w:val="00904F8D"/>
    <w:rsid w:val="009134FC"/>
    <w:rsid w:val="0092156A"/>
    <w:rsid w:val="00921AD8"/>
    <w:rsid w:val="00922F45"/>
    <w:rsid w:val="009260DF"/>
    <w:rsid w:val="00934E38"/>
    <w:rsid w:val="00936877"/>
    <w:rsid w:val="00942EF5"/>
    <w:rsid w:val="00946BFB"/>
    <w:rsid w:val="00956C5C"/>
    <w:rsid w:val="00960112"/>
    <w:rsid w:val="0097360D"/>
    <w:rsid w:val="00973C75"/>
    <w:rsid w:val="00980BEB"/>
    <w:rsid w:val="00981F73"/>
    <w:rsid w:val="00991EBF"/>
    <w:rsid w:val="00995968"/>
    <w:rsid w:val="009A0361"/>
    <w:rsid w:val="009A0A09"/>
    <w:rsid w:val="009B58D1"/>
    <w:rsid w:val="009C0666"/>
    <w:rsid w:val="009C1366"/>
    <w:rsid w:val="009D29DE"/>
    <w:rsid w:val="009E2D52"/>
    <w:rsid w:val="009F03E7"/>
    <w:rsid w:val="009F7286"/>
    <w:rsid w:val="00A005A0"/>
    <w:rsid w:val="00A1080F"/>
    <w:rsid w:val="00A211C8"/>
    <w:rsid w:val="00A3364A"/>
    <w:rsid w:val="00A4140C"/>
    <w:rsid w:val="00A45023"/>
    <w:rsid w:val="00A45145"/>
    <w:rsid w:val="00A46BA1"/>
    <w:rsid w:val="00A52634"/>
    <w:rsid w:val="00A53F42"/>
    <w:rsid w:val="00A639EF"/>
    <w:rsid w:val="00A77361"/>
    <w:rsid w:val="00A77DDC"/>
    <w:rsid w:val="00A82E6D"/>
    <w:rsid w:val="00A91831"/>
    <w:rsid w:val="00A91B4D"/>
    <w:rsid w:val="00A92E1F"/>
    <w:rsid w:val="00A93D51"/>
    <w:rsid w:val="00A96DB0"/>
    <w:rsid w:val="00A97C83"/>
    <w:rsid w:val="00AB67FF"/>
    <w:rsid w:val="00AC15ED"/>
    <w:rsid w:val="00AC41B1"/>
    <w:rsid w:val="00AC5425"/>
    <w:rsid w:val="00AC6A5F"/>
    <w:rsid w:val="00AD3301"/>
    <w:rsid w:val="00AD340B"/>
    <w:rsid w:val="00AD708C"/>
    <w:rsid w:val="00AD71DC"/>
    <w:rsid w:val="00AF06F1"/>
    <w:rsid w:val="00B04694"/>
    <w:rsid w:val="00B0698E"/>
    <w:rsid w:val="00B17F2F"/>
    <w:rsid w:val="00B20588"/>
    <w:rsid w:val="00B33C50"/>
    <w:rsid w:val="00B35417"/>
    <w:rsid w:val="00B47FDF"/>
    <w:rsid w:val="00B62D7C"/>
    <w:rsid w:val="00B65132"/>
    <w:rsid w:val="00B66476"/>
    <w:rsid w:val="00B74ED7"/>
    <w:rsid w:val="00B97E47"/>
    <w:rsid w:val="00BA3763"/>
    <w:rsid w:val="00BB282B"/>
    <w:rsid w:val="00BB4B34"/>
    <w:rsid w:val="00BC2AB9"/>
    <w:rsid w:val="00BC376C"/>
    <w:rsid w:val="00BD108E"/>
    <w:rsid w:val="00BD670D"/>
    <w:rsid w:val="00BD6DB6"/>
    <w:rsid w:val="00BF6EC0"/>
    <w:rsid w:val="00C014E9"/>
    <w:rsid w:val="00C06B2C"/>
    <w:rsid w:val="00C07F44"/>
    <w:rsid w:val="00C12EE4"/>
    <w:rsid w:val="00C147C9"/>
    <w:rsid w:val="00C154CF"/>
    <w:rsid w:val="00C2507D"/>
    <w:rsid w:val="00C27BF2"/>
    <w:rsid w:val="00C36C7A"/>
    <w:rsid w:val="00C36FE1"/>
    <w:rsid w:val="00C41804"/>
    <w:rsid w:val="00C4639C"/>
    <w:rsid w:val="00C51FAF"/>
    <w:rsid w:val="00C52E09"/>
    <w:rsid w:val="00C552FE"/>
    <w:rsid w:val="00C56B5A"/>
    <w:rsid w:val="00C633F8"/>
    <w:rsid w:val="00C81206"/>
    <w:rsid w:val="00C92EBE"/>
    <w:rsid w:val="00C9635F"/>
    <w:rsid w:val="00C975F3"/>
    <w:rsid w:val="00CA1F58"/>
    <w:rsid w:val="00CA6977"/>
    <w:rsid w:val="00CB4956"/>
    <w:rsid w:val="00CB7DFD"/>
    <w:rsid w:val="00CE3B45"/>
    <w:rsid w:val="00CE3E62"/>
    <w:rsid w:val="00CF0511"/>
    <w:rsid w:val="00CF385C"/>
    <w:rsid w:val="00D00414"/>
    <w:rsid w:val="00D01290"/>
    <w:rsid w:val="00D028C5"/>
    <w:rsid w:val="00D052B8"/>
    <w:rsid w:val="00D11AF7"/>
    <w:rsid w:val="00D2173F"/>
    <w:rsid w:val="00D229F5"/>
    <w:rsid w:val="00D31210"/>
    <w:rsid w:val="00D31ECC"/>
    <w:rsid w:val="00D368A4"/>
    <w:rsid w:val="00D420EB"/>
    <w:rsid w:val="00D479FA"/>
    <w:rsid w:val="00D540C8"/>
    <w:rsid w:val="00D567C6"/>
    <w:rsid w:val="00D603FB"/>
    <w:rsid w:val="00D65AB3"/>
    <w:rsid w:val="00D729A6"/>
    <w:rsid w:val="00D86E1B"/>
    <w:rsid w:val="00D91499"/>
    <w:rsid w:val="00D93DF1"/>
    <w:rsid w:val="00D97BDC"/>
    <w:rsid w:val="00DA0A33"/>
    <w:rsid w:val="00DB5070"/>
    <w:rsid w:val="00DC1AF9"/>
    <w:rsid w:val="00DC294A"/>
    <w:rsid w:val="00DD6052"/>
    <w:rsid w:val="00DE0B98"/>
    <w:rsid w:val="00DE381C"/>
    <w:rsid w:val="00DE593D"/>
    <w:rsid w:val="00DF3BEB"/>
    <w:rsid w:val="00DF4CE3"/>
    <w:rsid w:val="00E03130"/>
    <w:rsid w:val="00E03658"/>
    <w:rsid w:val="00E07708"/>
    <w:rsid w:val="00E107CC"/>
    <w:rsid w:val="00E168C6"/>
    <w:rsid w:val="00E275FA"/>
    <w:rsid w:val="00E27B15"/>
    <w:rsid w:val="00E3190A"/>
    <w:rsid w:val="00E33D12"/>
    <w:rsid w:val="00E440A8"/>
    <w:rsid w:val="00E46D82"/>
    <w:rsid w:val="00E576F4"/>
    <w:rsid w:val="00E76130"/>
    <w:rsid w:val="00E8212D"/>
    <w:rsid w:val="00E900C5"/>
    <w:rsid w:val="00E90227"/>
    <w:rsid w:val="00E91232"/>
    <w:rsid w:val="00E953FC"/>
    <w:rsid w:val="00EC1AB4"/>
    <w:rsid w:val="00EC50CF"/>
    <w:rsid w:val="00EC5EE4"/>
    <w:rsid w:val="00EC6427"/>
    <w:rsid w:val="00EC7B25"/>
    <w:rsid w:val="00ED0493"/>
    <w:rsid w:val="00ED289B"/>
    <w:rsid w:val="00ED5573"/>
    <w:rsid w:val="00EE1D67"/>
    <w:rsid w:val="00EE2322"/>
    <w:rsid w:val="00EE40D1"/>
    <w:rsid w:val="00EE68DF"/>
    <w:rsid w:val="00EF5CE3"/>
    <w:rsid w:val="00F03321"/>
    <w:rsid w:val="00F06A8A"/>
    <w:rsid w:val="00F06B4D"/>
    <w:rsid w:val="00F102EA"/>
    <w:rsid w:val="00F15C9D"/>
    <w:rsid w:val="00F23152"/>
    <w:rsid w:val="00F23FA8"/>
    <w:rsid w:val="00F429D6"/>
    <w:rsid w:val="00F4599E"/>
    <w:rsid w:val="00F51203"/>
    <w:rsid w:val="00F55581"/>
    <w:rsid w:val="00F6691E"/>
    <w:rsid w:val="00F673E5"/>
    <w:rsid w:val="00F678DC"/>
    <w:rsid w:val="00F70910"/>
    <w:rsid w:val="00F74921"/>
    <w:rsid w:val="00F83363"/>
    <w:rsid w:val="00F847C4"/>
    <w:rsid w:val="00F8793E"/>
    <w:rsid w:val="00F91373"/>
    <w:rsid w:val="00F913E9"/>
    <w:rsid w:val="00F966D4"/>
    <w:rsid w:val="00FA1943"/>
    <w:rsid w:val="00FA3AB4"/>
    <w:rsid w:val="00FA43CA"/>
    <w:rsid w:val="00FA4460"/>
    <w:rsid w:val="00FB352A"/>
    <w:rsid w:val="00FC739E"/>
    <w:rsid w:val="00FF02CE"/>
    <w:rsid w:val="00FF7EB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00414"/>
    <w:pPr>
      <w:jc w:val="both"/>
    </w:pPr>
    <w:rPr>
      <w:sz w:val="24"/>
      <w:lang w:val="en-US" w:eastAsia="en-US"/>
    </w:rPr>
  </w:style>
  <w:style w:type="paragraph" w:styleId="Heading1">
    <w:name w:val="heading 1"/>
    <w:basedOn w:val="Normal"/>
    <w:next w:val="Normal"/>
    <w:link w:val="Heading1Char"/>
    <w:uiPriority w:val="99"/>
    <w:qFormat/>
    <w:rsid w:val="00D00414"/>
    <w:pPr>
      <w:spacing w:before="480"/>
      <w:contextualSpacing/>
      <w:outlineLvl w:val="0"/>
    </w:pPr>
    <w:rPr>
      <w:b/>
      <w:bCs/>
      <w:color w:val="333333"/>
      <w:sz w:val="28"/>
      <w:szCs w:val="28"/>
    </w:rPr>
  </w:style>
  <w:style w:type="paragraph" w:styleId="Heading2">
    <w:name w:val="heading 2"/>
    <w:basedOn w:val="Normal"/>
    <w:next w:val="Normal"/>
    <w:link w:val="Heading2Char"/>
    <w:uiPriority w:val="99"/>
    <w:qFormat/>
    <w:rsid w:val="00D00414"/>
    <w:pPr>
      <w:spacing w:before="200"/>
      <w:outlineLvl w:val="1"/>
    </w:pPr>
    <w:rPr>
      <w:b/>
      <w:bCs/>
      <w:color w:val="4D4D4D"/>
      <w:sz w:val="26"/>
      <w:szCs w:val="26"/>
    </w:rPr>
  </w:style>
  <w:style w:type="paragraph" w:styleId="Heading3">
    <w:name w:val="heading 3"/>
    <w:basedOn w:val="Normal"/>
    <w:next w:val="Normal"/>
    <w:link w:val="Heading3Char"/>
    <w:uiPriority w:val="99"/>
    <w:qFormat/>
    <w:rsid w:val="00D00414"/>
    <w:pPr>
      <w:spacing w:before="200" w:line="271" w:lineRule="auto"/>
      <w:outlineLvl w:val="2"/>
    </w:pPr>
    <w:rPr>
      <w:b/>
      <w:bCs/>
      <w:color w:val="5F5F5F"/>
    </w:rPr>
  </w:style>
  <w:style w:type="paragraph" w:styleId="Heading4">
    <w:name w:val="heading 4"/>
    <w:basedOn w:val="Normal"/>
    <w:next w:val="Normal"/>
    <w:link w:val="Heading4Char"/>
    <w:uiPriority w:val="99"/>
    <w:qFormat/>
    <w:rsid w:val="00D00414"/>
    <w:pPr>
      <w:spacing w:before="200"/>
      <w:outlineLvl w:val="3"/>
    </w:pPr>
    <w:rPr>
      <w:b/>
      <w:bCs/>
      <w:i/>
      <w:iCs/>
      <w:color w:val="777777"/>
    </w:rPr>
  </w:style>
  <w:style w:type="paragraph" w:styleId="Heading5">
    <w:name w:val="heading 5"/>
    <w:basedOn w:val="Normal"/>
    <w:next w:val="Normal"/>
    <w:link w:val="Heading5Char"/>
    <w:uiPriority w:val="99"/>
    <w:qFormat/>
    <w:rsid w:val="00D00414"/>
    <w:pPr>
      <w:spacing w:before="200"/>
      <w:outlineLvl w:val="4"/>
    </w:pPr>
    <w:rPr>
      <w:b/>
      <w:bCs/>
      <w:color w:val="808080"/>
      <w:sz w:val="22"/>
      <w:lang w:val="fr-FR" w:eastAsia="fr-FR"/>
    </w:rPr>
  </w:style>
  <w:style w:type="paragraph" w:styleId="Heading6">
    <w:name w:val="heading 6"/>
    <w:basedOn w:val="Normal"/>
    <w:next w:val="Normal"/>
    <w:link w:val="Heading6Char"/>
    <w:uiPriority w:val="99"/>
    <w:qFormat/>
    <w:rsid w:val="00D00414"/>
    <w:pPr>
      <w:spacing w:line="271" w:lineRule="auto"/>
      <w:outlineLvl w:val="5"/>
    </w:pPr>
    <w:rPr>
      <w:b/>
      <w:bCs/>
      <w:i/>
      <w:iCs/>
      <w:color w:val="7F7F7F"/>
    </w:rPr>
  </w:style>
  <w:style w:type="paragraph" w:styleId="Heading7">
    <w:name w:val="heading 7"/>
    <w:basedOn w:val="Normal"/>
    <w:next w:val="Normal"/>
    <w:link w:val="Heading7Char"/>
    <w:uiPriority w:val="99"/>
    <w:qFormat/>
    <w:rsid w:val="00D00414"/>
    <w:pPr>
      <w:outlineLvl w:val="6"/>
    </w:pPr>
    <w:rPr>
      <w:i/>
      <w:iCs/>
      <w:sz w:val="22"/>
      <w:lang w:val="fr-FR" w:eastAsia="fr-FR"/>
    </w:rPr>
  </w:style>
  <w:style w:type="paragraph" w:styleId="Heading8">
    <w:name w:val="heading 8"/>
    <w:basedOn w:val="Normal"/>
    <w:next w:val="Normal"/>
    <w:link w:val="Heading8Char"/>
    <w:uiPriority w:val="99"/>
    <w:qFormat/>
    <w:rsid w:val="00D00414"/>
    <w:pPr>
      <w:outlineLvl w:val="7"/>
    </w:pPr>
    <w:rPr>
      <w:sz w:val="20"/>
      <w:szCs w:val="20"/>
      <w:lang w:val="fr-FR" w:eastAsia="fr-FR"/>
    </w:rPr>
  </w:style>
  <w:style w:type="paragraph" w:styleId="Heading9">
    <w:name w:val="heading 9"/>
    <w:basedOn w:val="Normal"/>
    <w:next w:val="Normal"/>
    <w:link w:val="Heading9Char"/>
    <w:uiPriority w:val="99"/>
    <w:qFormat/>
    <w:rsid w:val="00D00414"/>
    <w:pPr>
      <w:outlineLvl w:val="8"/>
    </w:pPr>
    <w:rPr>
      <w:i/>
      <w:iCs/>
      <w:spacing w:val="5"/>
      <w:sz w:val="20"/>
      <w:szCs w:val="20"/>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00414"/>
    <w:rPr>
      <w:rFonts w:ascii="Times New Roman" w:hAnsi="Times New Roman" w:cs="Times New Roman"/>
      <w:b/>
      <w:bCs/>
      <w:color w:val="333333"/>
      <w:sz w:val="28"/>
      <w:szCs w:val="28"/>
      <w:lang w:val="en-US" w:eastAsia="en-US"/>
    </w:rPr>
  </w:style>
  <w:style w:type="character" w:customStyle="1" w:styleId="Heading2Char">
    <w:name w:val="Heading 2 Char"/>
    <w:basedOn w:val="DefaultParagraphFont"/>
    <w:link w:val="Heading2"/>
    <w:uiPriority w:val="99"/>
    <w:semiHidden/>
    <w:locked/>
    <w:rsid w:val="00D00414"/>
    <w:rPr>
      <w:rFonts w:ascii="Times New Roman" w:hAnsi="Times New Roman" w:cs="Times New Roman"/>
      <w:b/>
      <w:bCs/>
      <w:color w:val="4D4D4D"/>
      <w:sz w:val="26"/>
      <w:szCs w:val="26"/>
      <w:lang w:val="en-US" w:eastAsia="en-US"/>
    </w:rPr>
  </w:style>
  <w:style w:type="character" w:customStyle="1" w:styleId="Heading3Char">
    <w:name w:val="Heading 3 Char"/>
    <w:basedOn w:val="DefaultParagraphFont"/>
    <w:link w:val="Heading3"/>
    <w:uiPriority w:val="99"/>
    <w:semiHidden/>
    <w:locked/>
    <w:rsid w:val="00D00414"/>
    <w:rPr>
      <w:rFonts w:ascii="Times New Roman" w:hAnsi="Times New Roman" w:cs="Times New Roman"/>
      <w:b/>
      <w:bCs/>
      <w:color w:val="5F5F5F"/>
      <w:sz w:val="24"/>
      <w:lang w:val="en-US" w:eastAsia="en-US"/>
    </w:rPr>
  </w:style>
  <w:style w:type="character" w:customStyle="1" w:styleId="Heading4Char">
    <w:name w:val="Heading 4 Char"/>
    <w:basedOn w:val="DefaultParagraphFont"/>
    <w:link w:val="Heading4"/>
    <w:uiPriority w:val="99"/>
    <w:semiHidden/>
    <w:locked/>
    <w:rsid w:val="00D00414"/>
    <w:rPr>
      <w:rFonts w:ascii="Times New Roman" w:hAnsi="Times New Roman" w:cs="Times New Roman"/>
      <w:b/>
      <w:bCs/>
      <w:i/>
      <w:iCs/>
      <w:color w:val="777777"/>
      <w:sz w:val="24"/>
      <w:lang w:val="en-US" w:eastAsia="en-US"/>
    </w:rPr>
  </w:style>
  <w:style w:type="character" w:customStyle="1" w:styleId="Heading5Char">
    <w:name w:val="Heading 5 Char"/>
    <w:basedOn w:val="DefaultParagraphFont"/>
    <w:link w:val="Heading5"/>
    <w:uiPriority w:val="99"/>
    <w:semiHidden/>
    <w:locked/>
    <w:rsid w:val="00D00414"/>
    <w:rPr>
      <w:rFonts w:ascii="Times New Roman" w:hAnsi="Times New Roman" w:cs="Times New Roman"/>
      <w:b/>
      <w:bCs/>
      <w:color w:val="808080"/>
    </w:rPr>
  </w:style>
  <w:style w:type="character" w:customStyle="1" w:styleId="Heading6Char">
    <w:name w:val="Heading 6 Char"/>
    <w:basedOn w:val="DefaultParagraphFont"/>
    <w:link w:val="Heading6"/>
    <w:uiPriority w:val="99"/>
    <w:semiHidden/>
    <w:locked/>
    <w:rsid w:val="00D00414"/>
    <w:rPr>
      <w:rFonts w:ascii="Times New Roman" w:hAnsi="Times New Roman" w:cs="Times New Roman"/>
      <w:b/>
      <w:bCs/>
      <w:i/>
      <w:iCs/>
      <w:color w:val="7F7F7F"/>
      <w:sz w:val="24"/>
      <w:lang w:val="en-US" w:eastAsia="en-US"/>
    </w:rPr>
  </w:style>
  <w:style w:type="character" w:customStyle="1" w:styleId="Heading7Char">
    <w:name w:val="Heading 7 Char"/>
    <w:basedOn w:val="DefaultParagraphFont"/>
    <w:link w:val="Heading7"/>
    <w:uiPriority w:val="99"/>
    <w:semiHidden/>
    <w:locked/>
    <w:rsid w:val="00D00414"/>
    <w:rPr>
      <w:rFonts w:ascii="Times New Roman" w:hAnsi="Times New Roman" w:cs="Times New Roman"/>
      <w:i/>
      <w:iCs/>
    </w:rPr>
  </w:style>
  <w:style w:type="character" w:customStyle="1" w:styleId="Heading8Char">
    <w:name w:val="Heading 8 Char"/>
    <w:basedOn w:val="DefaultParagraphFont"/>
    <w:link w:val="Heading8"/>
    <w:uiPriority w:val="99"/>
    <w:semiHidden/>
    <w:locked/>
    <w:rsid w:val="00D00414"/>
    <w:rPr>
      <w:rFonts w:ascii="Times New Roman" w:hAnsi="Times New Roman" w:cs="Times New Roman"/>
      <w:sz w:val="20"/>
      <w:szCs w:val="20"/>
    </w:rPr>
  </w:style>
  <w:style w:type="character" w:customStyle="1" w:styleId="Heading9Char">
    <w:name w:val="Heading 9 Char"/>
    <w:basedOn w:val="DefaultParagraphFont"/>
    <w:link w:val="Heading9"/>
    <w:uiPriority w:val="99"/>
    <w:semiHidden/>
    <w:locked/>
    <w:rsid w:val="00D00414"/>
    <w:rPr>
      <w:rFonts w:ascii="Times New Roman" w:hAnsi="Times New Roman" w:cs="Times New Roman"/>
      <w:i/>
      <w:iCs/>
      <w:spacing w:val="5"/>
      <w:sz w:val="20"/>
      <w:szCs w:val="20"/>
    </w:rPr>
  </w:style>
  <w:style w:type="paragraph" w:customStyle="1" w:styleId="ECHRHeading1">
    <w:name w:val="ECHR_Heading_1"/>
    <w:aliases w:val="Ju_H_I_Roman"/>
    <w:basedOn w:val="Heading1"/>
    <w:next w:val="ECHRPara"/>
    <w:link w:val="JuHIRomanChar"/>
    <w:uiPriority w:val="99"/>
    <w:rsid w:val="00D00414"/>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Normal"/>
    <w:next w:val="ECHRPara"/>
    <w:uiPriority w:val="99"/>
    <w:rsid w:val="00D00414"/>
    <w:pPr>
      <w:keepNext/>
      <w:keepLines/>
      <w:spacing w:before="720" w:after="240"/>
      <w:outlineLvl w:val="0"/>
    </w:pPr>
    <w:rPr>
      <w:sz w:val="28"/>
      <w:lang w:val="fr-FR" w:eastAsia="fr-FR"/>
    </w:rPr>
  </w:style>
  <w:style w:type="paragraph" w:customStyle="1" w:styleId="ECHRPara">
    <w:name w:val="ECHR_Para"/>
    <w:aliases w:val="Ju_Para,Left,First line:  0 cm"/>
    <w:basedOn w:val="Normal"/>
    <w:link w:val="JuParaCar"/>
    <w:uiPriority w:val="99"/>
    <w:rsid w:val="00D00414"/>
    <w:pPr>
      <w:ind w:firstLine="284"/>
    </w:pPr>
    <w:rPr>
      <w:szCs w:val="20"/>
      <w:lang w:val="fr-FR" w:eastAsia="fr-FR"/>
    </w:rPr>
  </w:style>
  <w:style w:type="character" w:customStyle="1" w:styleId="JuParaCar">
    <w:name w:val="Ju_Para Car"/>
    <w:link w:val="ECHRPara"/>
    <w:uiPriority w:val="99"/>
    <w:locked/>
    <w:rsid w:val="009D29DE"/>
    <w:rPr>
      <w:rFonts w:eastAsia="Times New Roman"/>
      <w:sz w:val="24"/>
    </w:rPr>
  </w:style>
  <w:style w:type="character" w:customStyle="1" w:styleId="JuHIRomanChar">
    <w:name w:val="Ju_H_I_Roman Char"/>
    <w:link w:val="ECHRHeading1"/>
    <w:uiPriority w:val="99"/>
    <w:locked/>
    <w:rsid w:val="00D31210"/>
    <w:rPr>
      <w:rFonts w:ascii="Times New Roman" w:hAnsi="Times New Roman"/>
      <w:sz w:val="28"/>
    </w:rPr>
  </w:style>
  <w:style w:type="paragraph" w:styleId="Footer">
    <w:name w:val="footer"/>
    <w:basedOn w:val="Normal"/>
    <w:link w:val="FooterChar"/>
    <w:uiPriority w:val="99"/>
    <w:semiHidden/>
    <w:rsid w:val="00D00414"/>
    <w:pPr>
      <w:tabs>
        <w:tab w:val="center" w:pos="4536"/>
        <w:tab w:val="right" w:pos="9696"/>
      </w:tabs>
      <w:ind w:left="-680" w:right="-680"/>
    </w:pPr>
  </w:style>
  <w:style w:type="character" w:customStyle="1" w:styleId="FooterChar">
    <w:name w:val="Footer Char"/>
    <w:basedOn w:val="DefaultParagraphFont"/>
    <w:link w:val="Footer"/>
    <w:uiPriority w:val="99"/>
    <w:semiHidden/>
    <w:locked/>
    <w:rsid w:val="00D00414"/>
    <w:rPr>
      <w:rFonts w:cs="Times New Roman"/>
      <w:sz w:val="24"/>
      <w:lang w:val="en-US" w:eastAsia="en-US"/>
    </w:rPr>
  </w:style>
  <w:style w:type="paragraph" w:customStyle="1" w:styleId="ECHRDecisionBody">
    <w:name w:val="ECHR_Decision_Body"/>
    <w:aliases w:val="Ju_Judges"/>
    <w:basedOn w:val="Normal"/>
    <w:link w:val="JuJudgesChar"/>
    <w:uiPriority w:val="99"/>
    <w:rsid w:val="00D00414"/>
    <w:pPr>
      <w:tabs>
        <w:tab w:val="left" w:pos="567"/>
        <w:tab w:val="left" w:pos="1134"/>
      </w:tabs>
      <w:jc w:val="left"/>
    </w:pPr>
    <w:rPr>
      <w:szCs w:val="20"/>
      <w:lang w:val="fr-FR" w:eastAsia="fr-FR"/>
    </w:rPr>
  </w:style>
  <w:style w:type="character" w:customStyle="1" w:styleId="JuJudgesChar">
    <w:name w:val="Ju_Judges Char"/>
    <w:link w:val="ECHRDecisionBody"/>
    <w:uiPriority w:val="99"/>
    <w:locked/>
    <w:rsid w:val="00287191"/>
    <w:rPr>
      <w:rFonts w:eastAsia="Times New Roman"/>
      <w:sz w:val="24"/>
    </w:rPr>
  </w:style>
  <w:style w:type="character" w:styleId="Strong">
    <w:name w:val="Strong"/>
    <w:basedOn w:val="DefaultParagraphFont"/>
    <w:uiPriority w:val="99"/>
    <w:qFormat/>
    <w:rsid w:val="00D00414"/>
    <w:rPr>
      <w:rFonts w:cs="Times New Roman"/>
      <w:b/>
    </w:rPr>
  </w:style>
  <w:style w:type="paragraph" w:customStyle="1" w:styleId="ECHRHeading2">
    <w:name w:val="ECHR_Heading_2"/>
    <w:aliases w:val="Ju_H_A"/>
    <w:basedOn w:val="Heading2"/>
    <w:next w:val="ECHRPara"/>
    <w:uiPriority w:val="99"/>
    <w:rsid w:val="00D00414"/>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
    <w:uiPriority w:val="99"/>
    <w:rsid w:val="00D00414"/>
    <w:pPr>
      <w:spacing w:before="120" w:after="120"/>
      <w:ind w:left="425" w:firstLine="142"/>
    </w:pPr>
    <w:rPr>
      <w:sz w:val="20"/>
      <w:lang w:val="fr-FR" w:eastAsia="fr-FR"/>
    </w:rPr>
  </w:style>
  <w:style w:type="paragraph" w:customStyle="1" w:styleId="JuSigned">
    <w:name w:val="Ju_Signed"/>
    <w:basedOn w:val="Normal"/>
    <w:next w:val="JuParaLast"/>
    <w:uiPriority w:val="99"/>
    <w:rsid w:val="00D00414"/>
    <w:pPr>
      <w:tabs>
        <w:tab w:val="center" w:pos="851"/>
        <w:tab w:val="center" w:pos="6407"/>
      </w:tabs>
      <w:spacing w:before="720"/>
      <w:jc w:val="left"/>
    </w:pPr>
    <w:rPr>
      <w:lang w:val="fr-FR" w:eastAsia="fr-FR"/>
    </w:rPr>
  </w:style>
  <w:style w:type="paragraph" w:customStyle="1" w:styleId="JuParaLast">
    <w:name w:val="Ju_Para_Last"/>
    <w:basedOn w:val="Normal"/>
    <w:next w:val="ECHRPara"/>
    <w:uiPriority w:val="99"/>
    <w:rsid w:val="00D00414"/>
    <w:pPr>
      <w:keepNext/>
      <w:keepLines/>
      <w:spacing w:before="240"/>
      <w:ind w:firstLine="284"/>
    </w:pPr>
    <w:rPr>
      <w:lang w:val="fr-FR" w:eastAsia="fr-FR"/>
    </w:rPr>
  </w:style>
  <w:style w:type="paragraph" w:customStyle="1" w:styleId="JuCase">
    <w:name w:val="Ju_Case"/>
    <w:basedOn w:val="Normal"/>
    <w:next w:val="ECHRPara"/>
    <w:uiPriority w:val="99"/>
    <w:rsid w:val="00D00414"/>
    <w:pPr>
      <w:ind w:firstLine="284"/>
    </w:pPr>
    <w:rPr>
      <w:b/>
    </w:rPr>
  </w:style>
  <w:style w:type="paragraph" w:customStyle="1" w:styleId="JuList">
    <w:name w:val="Ju_List"/>
    <w:basedOn w:val="Normal"/>
    <w:uiPriority w:val="99"/>
    <w:rsid w:val="00D00414"/>
    <w:pPr>
      <w:ind w:left="340" w:hanging="340"/>
    </w:pPr>
    <w:rPr>
      <w:lang w:val="fr-FR" w:eastAsia="fr-FR"/>
    </w:rPr>
  </w:style>
  <w:style w:type="paragraph" w:customStyle="1" w:styleId="JuCourt">
    <w:name w:val="Ju_Court"/>
    <w:basedOn w:val="Normal"/>
    <w:next w:val="Normal"/>
    <w:uiPriority w:val="99"/>
    <w:rsid w:val="00D00414"/>
    <w:pPr>
      <w:tabs>
        <w:tab w:val="left" w:pos="907"/>
        <w:tab w:val="left" w:pos="1701"/>
        <w:tab w:val="right" w:pos="7371"/>
      </w:tabs>
      <w:spacing w:before="240"/>
      <w:ind w:left="397" w:hanging="397"/>
      <w:jc w:val="left"/>
    </w:pPr>
    <w:rPr>
      <w:lang w:val="fr-FR" w:eastAsia="fr-FR"/>
    </w:rPr>
  </w:style>
  <w:style w:type="paragraph" w:styleId="FootnoteText">
    <w:name w:val="footnote text"/>
    <w:basedOn w:val="Normal"/>
    <w:link w:val="FootnoteTextChar"/>
    <w:uiPriority w:val="99"/>
    <w:semiHidden/>
    <w:rsid w:val="00D00414"/>
    <w:rPr>
      <w:sz w:val="20"/>
      <w:szCs w:val="20"/>
    </w:rPr>
  </w:style>
  <w:style w:type="character" w:customStyle="1" w:styleId="FootnoteTextChar">
    <w:name w:val="Footnote Text Char"/>
    <w:basedOn w:val="DefaultParagraphFont"/>
    <w:link w:val="FootnoteText"/>
    <w:uiPriority w:val="99"/>
    <w:semiHidden/>
    <w:locked/>
    <w:rsid w:val="00D00414"/>
    <w:rPr>
      <w:rFonts w:eastAsia="Times New Roman" w:cs="Times New Roman"/>
      <w:sz w:val="20"/>
      <w:szCs w:val="20"/>
      <w:lang w:val="en-US" w:eastAsia="en-US"/>
    </w:rPr>
  </w:style>
  <w:style w:type="character" w:styleId="FootnoteReference">
    <w:name w:val="footnote reference"/>
    <w:basedOn w:val="DefaultParagraphFont"/>
    <w:uiPriority w:val="99"/>
    <w:semiHidden/>
    <w:rsid w:val="00D00414"/>
    <w:rPr>
      <w:rFonts w:cs="Times New Roman"/>
      <w:vertAlign w:val="superscript"/>
    </w:rPr>
  </w:style>
  <w:style w:type="paragraph" w:styleId="Header">
    <w:name w:val="header"/>
    <w:basedOn w:val="Normal"/>
    <w:link w:val="HeaderChar"/>
    <w:uiPriority w:val="99"/>
    <w:semiHidden/>
    <w:rsid w:val="00D00414"/>
    <w:pPr>
      <w:tabs>
        <w:tab w:val="center" w:pos="4536"/>
        <w:tab w:val="right" w:pos="9072"/>
      </w:tabs>
    </w:pPr>
  </w:style>
  <w:style w:type="character" w:customStyle="1" w:styleId="HeaderChar">
    <w:name w:val="Header Char"/>
    <w:basedOn w:val="DefaultParagraphFont"/>
    <w:link w:val="Header"/>
    <w:uiPriority w:val="99"/>
    <w:semiHidden/>
    <w:locked/>
    <w:rsid w:val="00D00414"/>
    <w:rPr>
      <w:rFonts w:cs="Times New Roman"/>
      <w:sz w:val="24"/>
      <w:lang w:val="en-US" w:eastAsia="en-US"/>
    </w:rPr>
  </w:style>
  <w:style w:type="character" w:styleId="PageNumber">
    <w:name w:val="page number"/>
    <w:basedOn w:val="DefaultParagraphFont"/>
    <w:uiPriority w:val="99"/>
    <w:semiHidden/>
    <w:rsid w:val="004219F0"/>
    <w:rPr>
      <w:rFonts w:ascii="Times New Roman" w:hAnsi="Times New Roman" w:cs="Times New Roman"/>
      <w:sz w:val="18"/>
    </w:rPr>
  </w:style>
  <w:style w:type="paragraph" w:customStyle="1" w:styleId="JuLista">
    <w:name w:val="Ju_List_a"/>
    <w:basedOn w:val="JuList"/>
    <w:uiPriority w:val="99"/>
    <w:rsid w:val="00D00414"/>
    <w:pPr>
      <w:ind w:left="346" w:firstLine="0"/>
    </w:pPr>
  </w:style>
  <w:style w:type="paragraph" w:customStyle="1" w:styleId="JuListi">
    <w:name w:val="Ju_List_i"/>
    <w:basedOn w:val="Normal"/>
    <w:next w:val="JuLista"/>
    <w:uiPriority w:val="99"/>
    <w:rsid w:val="00D00414"/>
    <w:pPr>
      <w:ind w:left="794"/>
    </w:pPr>
    <w:rPr>
      <w:lang w:val="fr-FR" w:eastAsia="fr-FR"/>
    </w:rPr>
  </w:style>
  <w:style w:type="character" w:styleId="CommentReference">
    <w:name w:val="annotation reference"/>
    <w:basedOn w:val="DefaultParagraphFont"/>
    <w:uiPriority w:val="99"/>
    <w:semiHidden/>
    <w:rsid w:val="00E8212D"/>
    <w:rPr>
      <w:rFonts w:cs="Times New Roman"/>
      <w:sz w:val="16"/>
    </w:rPr>
  </w:style>
  <w:style w:type="paragraph" w:styleId="CommentText">
    <w:name w:val="annotation text"/>
    <w:basedOn w:val="Normal"/>
    <w:link w:val="CommentTextChar"/>
    <w:uiPriority w:val="99"/>
    <w:semiHidden/>
    <w:rsid w:val="00E8212D"/>
    <w:rPr>
      <w:sz w:val="20"/>
    </w:rPr>
  </w:style>
  <w:style w:type="character" w:customStyle="1" w:styleId="CommentTextChar">
    <w:name w:val="Comment Text Char"/>
    <w:basedOn w:val="DefaultParagraphFont"/>
    <w:link w:val="CommentText"/>
    <w:uiPriority w:val="99"/>
    <w:semiHidden/>
    <w:rsid w:val="00D15E87"/>
    <w:rPr>
      <w:sz w:val="20"/>
      <w:szCs w:val="20"/>
      <w:lang w:val="en-US" w:eastAsia="en-US"/>
    </w:rPr>
  </w:style>
  <w:style w:type="paragraph" w:styleId="BalloonText">
    <w:name w:val="Balloon Text"/>
    <w:basedOn w:val="Normal"/>
    <w:link w:val="BalloonTextChar"/>
    <w:uiPriority w:val="99"/>
    <w:semiHidden/>
    <w:rsid w:val="00D004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414"/>
    <w:rPr>
      <w:rFonts w:ascii="Tahoma" w:hAnsi="Tahoma" w:cs="Tahoma"/>
      <w:sz w:val="16"/>
      <w:szCs w:val="16"/>
      <w:lang w:val="en-US" w:eastAsia="en-US"/>
    </w:rPr>
  </w:style>
  <w:style w:type="character" w:styleId="Hyperlink">
    <w:name w:val="Hyperlink"/>
    <w:basedOn w:val="DefaultParagraphFont"/>
    <w:uiPriority w:val="99"/>
    <w:semiHidden/>
    <w:rsid w:val="00D00414"/>
    <w:rPr>
      <w:rFonts w:cs="Times New Roman"/>
      <w:color w:val="0072BC"/>
      <w:u w:val="single"/>
    </w:rPr>
  </w:style>
  <w:style w:type="character" w:styleId="EndnoteReference">
    <w:name w:val="endnote reference"/>
    <w:basedOn w:val="DefaultParagraphFont"/>
    <w:uiPriority w:val="99"/>
    <w:semiHidden/>
    <w:rsid w:val="004219F0"/>
    <w:rPr>
      <w:rFonts w:ascii="Times New Roman" w:hAnsi="Times New Roman" w:cs="Times New Roman"/>
      <w:vertAlign w:val="superscript"/>
    </w:rPr>
  </w:style>
  <w:style w:type="paragraph" w:styleId="EndnoteText">
    <w:name w:val="endnote text"/>
    <w:basedOn w:val="Normal"/>
    <w:link w:val="EndnoteTextChar"/>
    <w:uiPriority w:val="99"/>
    <w:semiHidden/>
    <w:rsid w:val="004219F0"/>
    <w:rPr>
      <w:sz w:val="20"/>
    </w:rPr>
  </w:style>
  <w:style w:type="character" w:customStyle="1" w:styleId="EndnoteTextChar">
    <w:name w:val="Endnote Text Char"/>
    <w:basedOn w:val="DefaultParagraphFont"/>
    <w:link w:val="EndnoteText"/>
    <w:uiPriority w:val="99"/>
    <w:semiHidden/>
    <w:rsid w:val="00D15E87"/>
    <w:rPr>
      <w:sz w:val="20"/>
      <w:szCs w:val="20"/>
      <w:lang w:val="en-US" w:eastAsia="en-US"/>
    </w:rPr>
  </w:style>
  <w:style w:type="character" w:styleId="FollowedHyperlink">
    <w:name w:val="FollowedHyperlink"/>
    <w:basedOn w:val="DefaultParagraphFont"/>
    <w:uiPriority w:val="99"/>
    <w:semiHidden/>
    <w:rsid w:val="004219F0"/>
    <w:rPr>
      <w:rFonts w:ascii="Times New Roman" w:hAnsi="Times New Roman" w:cs="Times New Roman"/>
      <w:color w:val="800080"/>
      <w:u w:val="single"/>
    </w:rPr>
  </w:style>
  <w:style w:type="paragraph" w:styleId="ListBullet">
    <w:name w:val="List Bullet"/>
    <w:basedOn w:val="Normal"/>
    <w:uiPriority w:val="99"/>
    <w:semiHidden/>
    <w:rsid w:val="00387F24"/>
    <w:pPr>
      <w:numPr>
        <w:numId w:val="11"/>
      </w:numPr>
    </w:pPr>
  </w:style>
  <w:style w:type="character" w:customStyle="1" w:styleId="JuNames">
    <w:name w:val="Ju_Names"/>
    <w:uiPriority w:val="99"/>
    <w:rsid w:val="004219F0"/>
    <w:rPr>
      <w:rFonts w:ascii="Times New Roman" w:hAnsi="Times New Roman"/>
      <w:smallCaps/>
    </w:rPr>
  </w:style>
  <w:style w:type="paragraph" w:styleId="CommentSubject">
    <w:name w:val="annotation subject"/>
    <w:basedOn w:val="CommentText"/>
    <w:next w:val="CommentText"/>
    <w:link w:val="CommentSubjectChar"/>
    <w:uiPriority w:val="99"/>
    <w:semiHidden/>
    <w:rsid w:val="00E27B15"/>
    <w:rPr>
      <w:b/>
      <w:bCs/>
    </w:rPr>
  </w:style>
  <w:style w:type="character" w:customStyle="1" w:styleId="CommentSubjectChar">
    <w:name w:val="Comment Subject Char"/>
    <w:basedOn w:val="CommentTextChar"/>
    <w:link w:val="CommentSubject"/>
    <w:uiPriority w:val="99"/>
    <w:semiHidden/>
    <w:rsid w:val="00D15E87"/>
    <w:rPr>
      <w:b/>
      <w:bCs/>
    </w:rPr>
  </w:style>
  <w:style w:type="paragraph" w:styleId="DocumentMap">
    <w:name w:val="Document Map"/>
    <w:basedOn w:val="Normal"/>
    <w:link w:val="DocumentMapChar"/>
    <w:uiPriority w:val="99"/>
    <w:semiHidden/>
    <w:rsid w:val="00B33C5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D15E87"/>
    <w:rPr>
      <w:sz w:val="0"/>
      <w:szCs w:val="0"/>
      <w:lang w:val="en-US" w:eastAsia="en-US"/>
    </w:rPr>
  </w:style>
  <w:style w:type="character" w:customStyle="1" w:styleId="JuITMark">
    <w:name w:val="Ju_ITMark"/>
    <w:basedOn w:val="DefaultParagraphFont"/>
    <w:uiPriority w:val="99"/>
    <w:rsid w:val="00D00414"/>
    <w:rPr>
      <w:rFonts w:cs="Times New Roman"/>
      <w:vanish/>
      <w:color w:val="339966"/>
      <w:sz w:val="14"/>
    </w:rPr>
  </w:style>
  <w:style w:type="character" w:styleId="BookTitle">
    <w:name w:val="Book Title"/>
    <w:basedOn w:val="DefaultParagraphFont"/>
    <w:uiPriority w:val="99"/>
    <w:qFormat/>
    <w:rsid w:val="00D00414"/>
    <w:rPr>
      <w:i/>
      <w:smallCaps/>
      <w:spacing w:val="5"/>
    </w:rPr>
  </w:style>
  <w:style w:type="paragraph" w:styleId="NoSpacing">
    <w:name w:val="No Spacing"/>
    <w:basedOn w:val="Normal"/>
    <w:link w:val="NoSpacingChar"/>
    <w:uiPriority w:val="99"/>
    <w:qFormat/>
    <w:rsid w:val="00D00414"/>
    <w:rPr>
      <w:sz w:val="22"/>
      <w:lang w:val="fr-FR" w:eastAsia="fr-FR"/>
    </w:rPr>
  </w:style>
  <w:style w:type="character" w:customStyle="1" w:styleId="NoSpacingChar">
    <w:name w:val="No Spacing Char"/>
    <w:basedOn w:val="DefaultParagraphFont"/>
    <w:link w:val="NoSpacing"/>
    <w:uiPriority w:val="99"/>
    <w:semiHidden/>
    <w:locked/>
    <w:rsid w:val="00D00414"/>
    <w:rPr>
      <w:rFonts w:eastAsia="Times New Roman" w:cs="Times New Roman"/>
    </w:rPr>
  </w:style>
  <w:style w:type="paragraph" w:styleId="Title">
    <w:name w:val="Title"/>
    <w:basedOn w:val="Normal"/>
    <w:next w:val="Normal"/>
    <w:link w:val="TitleChar"/>
    <w:uiPriority w:val="99"/>
    <w:qFormat/>
    <w:rsid w:val="00D00414"/>
    <w:pPr>
      <w:pBdr>
        <w:bottom w:val="single" w:sz="4" w:space="1" w:color="auto"/>
      </w:pBdr>
      <w:contextualSpacing/>
    </w:pPr>
    <w:rPr>
      <w:spacing w:val="5"/>
      <w:sz w:val="52"/>
      <w:szCs w:val="52"/>
      <w:lang w:val="fr-FR" w:eastAsia="fr-FR"/>
    </w:rPr>
  </w:style>
  <w:style w:type="character" w:customStyle="1" w:styleId="TitleChar">
    <w:name w:val="Title Char"/>
    <w:basedOn w:val="DefaultParagraphFont"/>
    <w:link w:val="Title"/>
    <w:uiPriority w:val="99"/>
    <w:semiHidden/>
    <w:locked/>
    <w:rsid w:val="00D00414"/>
    <w:rPr>
      <w:rFonts w:ascii="Times New Roman" w:hAnsi="Times New Roman" w:cs="Times New Roman"/>
      <w:spacing w:val="5"/>
      <w:sz w:val="52"/>
      <w:szCs w:val="52"/>
    </w:rPr>
  </w:style>
  <w:style w:type="paragraph" w:styleId="Subtitle">
    <w:name w:val="Subtitle"/>
    <w:basedOn w:val="Normal"/>
    <w:next w:val="Normal"/>
    <w:link w:val="SubtitleChar"/>
    <w:uiPriority w:val="99"/>
    <w:qFormat/>
    <w:rsid w:val="00D00414"/>
    <w:pPr>
      <w:spacing w:after="600"/>
    </w:pPr>
    <w:rPr>
      <w:i/>
      <w:iCs/>
      <w:spacing w:val="13"/>
      <w:szCs w:val="24"/>
      <w:lang w:val="fr-FR" w:eastAsia="fr-FR"/>
    </w:rPr>
  </w:style>
  <w:style w:type="character" w:customStyle="1" w:styleId="SubtitleChar">
    <w:name w:val="Subtitle Char"/>
    <w:basedOn w:val="DefaultParagraphFont"/>
    <w:link w:val="Subtitle"/>
    <w:uiPriority w:val="99"/>
    <w:semiHidden/>
    <w:locked/>
    <w:rsid w:val="00D00414"/>
    <w:rPr>
      <w:rFonts w:ascii="Times New Roman" w:hAnsi="Times New Roman" w:cs="Times New Roman"/>
      <w:i/>
      <w:iCs/>
      <w:spacing w:val="13"/>
      <w:sz w:val="24"/>
      <w:szCs w:val="24"/>
    </w:rPr>
  </w:style>
  <w:style w:type="paragraph" w:customStyle="1" w:styleId="ECHRFooter">
    <w:name w:val="ECHR_Footer"/>
    <w:aliases w:val="Footer_ECHR"/>
    <w:basedOn w:val="Footer"/>
    <w:uiPriority w:val="99"/>
    <w:semiHidden/>
    <w:rsid w:val="00D00414"/>
    <w:pPr>
      <w:jc w:val="left"/>
    </w:pPr>
    <w:rPr>
      <w:sz w:val="8"/>
    </w:rPr>
  </w:style>
  <w:style w:type="paragraph" w:customStyle="1" w:styleId="ECHRFooterLine">
    <w:name w:val="ECHR_Footer_Line"/>
    <w:aliases w:val="Footer_Line"/>
    <w:basedOn w:val="Normal"/>
    <w:next w:val="ECHRFooter"/>
    <w:uiPriority w:val="99"/>
    <w:semiHidden/>
    <w:rsid w:val="00D00414"/>
    <w:pPr>
      <w:pBdr>
        <w:top w:val="single" w:sz="6" w:space="1" w:color="5F5F5F"/>
      </w:pBdr>
      <w:tabs>
        <w:tab w:val="center" w:pos="4536"/>
        <w:tab w:val="right" w:pos="9696"/>
      </w:tabs>
      <w:ind w:left="-680" w:right="-680"/>
      <w:jc w:val="left"/>
    </w:pPr>
    <w:rPr>
      <w:color w:val="5F5F5F"/>
    </w:rPr>
  </w:style>
  <w:style w:type="paragraph" w:customStyle="1" w:styleId="ECHRHeader">
    <w:name w:val="ECHR_Header"/>
    <w:aliases w:val="Ju_Header"/>
    <w:basedOn w:val="Header"/>
    <w:uiPriority w:val="99"/>
    <w:rsid w:val="00D00414"/>
    <w:pPr>
      <w:tabs>
        <w:tab w:val="clear" w:pos="4536"/>
        <w:tab w:val="clear" w:pos="9072"/>
        <w:tab w:val="center" w:pos="3686"/>
        <w:tab w:val="right" w:pos="7371"/>
      </w:tabs>
      <w:jc w:val="left"/>
    </w:pPr>
    <w:rPr>
      <w:sz w:val="18"/>
      <w:lang w:val="fr-FR" w:eastAsia="fr-FR"/>
    </w:rPr>
  </w:style>
  <w:style w:type="character" w:styleId="SubtleEmphasis">
    <w:name w:val="Subtle Emphasis"/>
    <w:basedOn w:val="DefaultParagraphFont"/>
    <w:uiPriority w:val="99"/>
    <w:qFormat/>
    <w:rsid w:val="00D00414"/>
    <w:rPr>
      <w:i/>
    </w:rPr>
  </w:style>
  <w:style w:type="character" w:styleId="Emphasis">
    <w:name w:val="Emphasis"/>
    <w:basedOn w:val="DefaultParagraphFont"/>
    <w:uiPriority w:val="99"/>
    <w:qFormat/>
    <w:rsid w:val="00D00414"/>
    <w:rPr>
      <w:rFonts w:cs="Times New Roman"/>
      <w:b/>
      <w:i/>
      <w:spacing w:val="10"/>
      <w:shd w:val="clear" w:color="auto" w:fill="auto"/>
    </w:rPr>
  </w:style>
  <w:style w:type="character" w:styleId="IntenseEmphasis">
    <w:name w:val="Intense Emphasis"/>
    <w:basedOn w:val="DefaultParagraphFont"/>
    <w:uiPriority w:val="99"/>
    <w:qFormat/>
    <w:rsid w:val="00D00414"/>
    <w:rPr>
      <w:b/>
    </w:rPr>
  </w:style>
  <w:style w:type="paragraph" w:styleId="IntenseQuote">
    <w:name w:val="Intense Quote"/>
    <w:basedOn w:val="Normal"/>
    <w:next w:val="Normal"/>
    <w:link w:val="IntenseQuoteChar"/>
    <w:uiPriority w:val="99"/>
    <w:qFormat/>
    <w:rsid w:val="00D00414"/>
    <w:pPr>
      <w:pBdr>
        <w:bottom w:val="single" w:sz="4" w:space="1" w:color="auto"/>
      </w:pBdr>
      <w:spacing w:before="200" w:after="280"/>
      <w:ind w:left="1008" w:right="1152"/>
    </w:pPr>
    <w:rPr>
      <w:b/>
      <w:bCs/>
      <w:i/>
      <w:iCs/>
      <w:sz w:val="22"/>
      <w:lang w:val="fr-FR" w:eastAsia="fr-FR"/>
    </w:rPr>
  </w:style>
  <w:style w:type="character" w:customStyle="1" w:styleId="IntenseQuoteChar">
    <w:name w:val="Intense Quote Char"/>
    <w:basedOn w:val="DefaultParagraphFont"/>
    <w:link w:val="IntenseQuote"/>
    <w:uiPriority w:val="99"/>
    <w:semiHidden/>
    <w:locked/>
    <w:rsid w:val="00D00414"/>
    <w:rPr>
      <w:rFonts w:eastAsia="Times New Roman" w:cs="Times New Roman"/>
      <w:b/>
      <w:bCs/>
      <w:i/>
      <w:iCs/>
    </w:rPr>
  </w:style>
  <w:style w:type="character" w:styleId="IntenseReference">
    <w:name w:val="Intense Reference"/>
    <w:basedOn w:val="DefaultParagraphFont"/>
    <w:uiPriority w:val="99"/>
    <w:qFormat/>
    <w:rsid w:val="00D00414"/>
    <w:rPr>
      <w:smallCaps/>
      <w:spacing w:val="5"/>
      <w:u w:val="single"/>
    </w:rPr>
  </w:style>
  <w:style w:type="paragraph" w:customStyle="1" w:styleId="JuAppQuestion">
    <w:name w:val="Ju_App_Question"/>
    <w:basedOn w:val="Normal"/>
    <w:uiPriority w:val="99"/>
    <w:semiHidden/>
    <w:rsid w:val="00D00414"/>
    <w:pPr>
      <w:numPr>
        <w:numId w:val="12"/>
      </w:numPr>
      <w:jc w:val="left"/>
    </w:pPr>
    <w:rPr>
      <w:b/>
    </w:rPr>
  </w:style>
  <w:style w:type="paragraph" w:customStyle="1" w:styleId="OpiPara">
    <w:name w:val="Opi_Para"/>
    <w:basedOn w:val="ECHRPara"/>
    <w:uiPriority w:val="99"/>
    <w:rsid w:val="00D00414"/>
  </w:style>
  <w:style w:type="paragraph" w:customStyle="1" w:styleId="JuParaSub">
    <w:name w:val="Ju_Para_Sub"/>
    <w:basedOn w:val="ECHRPara"/>
    <w:uiPriority w:val="99"/>
    <w:rsid w:val="00D00414"/>
    <w:pPr>
      <w:ind w:left="284"/>
    </w:pPr>
  </w:style>
  <w:style w:type="paragraph" w:customStyle="1" w:styleId="OpiParaSub">
    <w:name w:val="Opi_Para_Sub"/>
    <w:basedOn w:val="JuParaSub"/>
    <w:uiPriority w:val="99"/>
    <w:rsid w:val="00D00414"/>
  </w:style>
  <w:style w:type="paragraph" w:customStyle="1" w:styleId="OpiQuot">
    <w:name w:val="Opi_Quot"/>
    <w:basedOn w:val="ECHRParaQuote"/>
    <w:uiPriority w:val="99"/>
    <w:rsid w:val="00D00414"/>
  </w:style>
  <w:style w:type="paragraph" w:customStyle="1" w:styleId="OpiQuotSub">
    <w:name w:val="Opi_Quot_Sub"/>
    <w:basedOn w:val="JuQuotSub"/>
    <w:uiPriority w:val="99"/>
    <w:rsid w:val="00D00414"/>
  </w:style>
  <w:style w:type="paragraph" w:styleId="ListParagraph">
    <w:name w:val="List Paragraph"/>
    <w:basedOn w:val="Normal"/>
    <w:uiPriority w:val="99"/>
    <w:qFormat/>
    <w:rsid w:val="00D00414"/>
    <w:pPr>
      <w:ind w:left="720"/>
      <w:contextualSpacing/>
    </w:pPr>
    <w:rPr>
      <w:lang w:val="fr-FR" w:eastAsia="fr-FR"/>
    </w:rPr>
  </w:style>
  <w:style w:type="paragraph" w:styleId="Quote">
    <w:name w:val="Quote"/>
    <w:basedOn w:val="Normal"/>
    <w:next w:val="Normal"/>
    <w:link w:val="QuoteChar"/>
    <w:uiPriority w:val="99"/>
    <w:qFormat/>
    <w:rsid w:val="00D00414"/>
    <w:pPr>
      <w:spacing w:before="200"/>
      <w:ind w:left="360" w:right="360"/>
    </w:pPr>
    <w:rPr>
      <w:i/>
      <w:iCs/>
      <w:sz w:val="22"/>
      <w:lang w:val="fr-FR" w:eastAsia="fr-FR"/>
    </w:rPr>
  </w:style>
  <w:style w:type="character" w:customStyle="1" w:styleId="QuoteChar">
    <w:name w:val="Quote Char"/>
    <w:basedOn w:val="DefaultParagraphFont"/>
    <w:link w:val="Quote"/>
    <w:uiPriority w:val="99"/>
    <w:semiHidden/>
    <w:locked/>
    <w:rsid w:val="00D00414"/>
    <w:rPr>
      <w:rFonts w:eastAsia="Times New Roman" w:cs="Times New Roman"/>
      <w:i/>
      <w:iCs/>
    </w:rPr>
  </w:style>
  <w:style w:type="character" w:styleId="SubtleReference">
    <w:name w:val="Subtle Reference"/>
    <w:basedOn w:val="DefaultParagraphFont"/>
    <w:uiPriority w:val="99"/>
    <w:qFormat/>
    <w:rsid w:val="00D00414"/>
    <w:rPr>
      <w:smallCaps/>
    </w:rPr>
  </w:style>
  <w:style w:type="table" w:styleId="TableGrid">
    <w:name w:val="Table Grid"/>
    <w:basedOn w:val="TableNormal"/>
    <w:uiPriority w:val="99"/>
    <w:semiHidden/>
    <w:rsid w:val="00D00414"/>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D00414"/>
    <w:pPr>
      <w:spacing w:before="120" w:after="60"/>
      <w:ind w:left="340" w:right="340" w:hanging="340"/>
    </w:pPr>
    <w:rPr>
      <w:color w:val="0D0D0D"/>
    </w:rPr>
  </w:style>
  <w:style w:type="paragraph" w:styleId="TOC2">
    <w:name w:val="toc 2"/>
    <w:basedOn w:val="Normal"/>
    <w:next w:val="Normal"/>
    <w:autoRedefine/>
    <w:uiPriority w:val="99"/>
    <w:semiHidden/>
    <w:rsid w:val="00D00414"/>
    <w:pPr>
      <w:spacing w:after="60"/>
      <w:ind w:left="680" w:right="340" w:hanging="340"/>
    </w:pPr>
  </w:style>
  <w:style w:type="paragraph" w:styleId="TOC3">
    <w:name w:val="toc 3"/>
    <w:basedOn w:val="Normal"/>
    <w:next w:val="Normal"/>
    <w:autoRedefine/>
    <w:uiPriority w:val="99"/>
    <w:semiHidden/>
    <w:rsid w:val="00D00414"/>
    <w:pPr>
      <w:spacing w:after="60"/>
      <w:ind w:left="1020" w:right="340" w:hanging="340"/>
    </w:pPr>
  </w:style>
  <w:style w:type="paragraph" w:styleId="TOC4">
    <w:name w:val="toc 4"/>
    <w:basedOn w:val="Normal"/>
    <w:next w:val="Normal"/>
    <w:autoRedefine/>
    <w:uiPriority w:val="99"/>
    <w:semiHidden/>
    <w:rsid w:val="00D00414"/>
    <w:pPr>
      <w:tabs>
        <w:tab w:val="right" w:leader="dot" w:pos="9017"/>
      </w:tabs>
      <w:spacing w:after="60"/>
      <w:ind w:left="1361" w:right="340" w:hanging="340"/>
    </w:pPr>
  </w:style>
  <w:style w:type="paragraph" w:styleId="TOC5">
    <w:name w:val="toc 5"/>
    <w:basedOn w:val="Normal"/>
    <w:next w:val="Normal"/>
    <w:autoRedefine/>
    <w:uiPriority w:val="99"/>
    <w:semiHidden/>
    <w:rsid w:val="00D00414"/>
    <w:pPr>
      <w:spacing w:after="60"/>
      <w:ind w:left="1701" w:right="340" w:hanging="340"/>
    </w:pPr>
  </w:style>
  <w:style w:type="paragraph" w:styleId="TOCHeading">
    <w:name w:val="TOC Heading"/>
    <w:basedOn w:val="Heading1"/>
    <w:next w:val="Normal"/>
    <w:uiPriority w:val="99"/>
    <w:qFormat/>
    <w:rsid w:val="00D00414"/>
    <w:pPr>
      <w:outlineLvl w:val="9"/>
    </w:pPr>
    <w:rPr>
      <w:color w:val="474747"/>
      <w:lang w:val="fr-FR" w:eastAsia="fr-FR"/>
    </w:rPr>
  </w:style>
  <w:style w:type="paragraph" w:customStyle="1" w:styleId="ECHRTitleCentre3">
    <w:name w:val="ECHR_Title_Centre_3"/>
    <w:aliases w:val="Ju_H_Article"/>
    <w:basedOn w:val="Normal"/>
    <w:next w:val="ECHRParaQuote"/>
    <w:uiPriority w:val="99"/>
    <w:rsid w:val="00D00414"/>
    <w:pPr>
      <w:keepNext/>
      <w:keepLines/>
      <w:spacing w:before="240" w:after="120"/>
      <w:jc w:val="center"/>
      <w:outlineLvl w:val="3"/>
    </w:pPr>
    <w:rPr>
      <w:b/>
      <w:sz w:val="20"/>
      <w:lang w:val="fr-FR" w:eastAsia="fr-FR"/>
    </w:rPr>
  </w:style>
  <w:style w:type="paragraph" w:customStyle="1" w:styleId="ECHRTitleCentre2">
    <w:name w:val="ECHR_Title_Centre_2"/>
    <w:aliases w:val="Dec_H_Case"/>
    <w:basedOn w:val="Normal"/>
    <w:next w:val="ECHRPara"/>
    <w:uiPriority w:val="99"/>
    <w:semiHidden/>
    <w:rsid w:val="00D00414"/>
    <w:pPr>
      <w:spacing w:after="240"/>
      <w:jc w:val="center"/>
      <w:outlineLvl w:val="0"/>
    </w:pPr>
    <w:rPr>
      <w:i/>
    </w:rPr>
  </w:style>
  <w:style w:type="paragraph" w:customStyle="1" w:styleId="JuTitle">
    <w:name w:val="Ju_Title"/>
    <w:basedOn w:val="Normal"/>
    <w:next w:val="ECHRPara"/>
    <w:uiPriority w:val="99"/>
    <w:semiHidden/>
    <w:rsid w:val="00D00414"/>
    <w:pPr>
      <w:spacing w:before="720" w:after="240"/>
      <w:jc w:val="center"/>
      <w:outlineLvl w:val="0"/>
    </w:pPr>
    <w:rPr>
      <w:b/>
      <w:caps/>
    </w:rPr>
  </w:style>
  <w:style w:type="paragraph" w:customStyle="1" w:styleId="ECHRTitleCentre1">
    <w:name w:val="ECHR_Title_Centre_1"/>
    <w:aliases w:val="Opi_H_Head"/>
    <w:basedOn w:val="Normal"/>
    <w:next w:val="OpiPara"/>
    <w:uiPriority w:val="99"/>
    <w:rsid w:val="00D00414"/>
    <w:pPr>
      <w:keepNext/>
      <w:keepLines/>
      <w:spacing w:after="240"/>
      <w:jc w:val="center"/>
      <w:outlineLvl w:val="0"/>
    </w:pPr>
    <w:rPr>
      <w:sz w:val="28"/>
      <w:lang w:val="fr-FR" w:eastAsia="fr-FR"/>
    </w:rPr>
  </w:style>
  <w:style w:type="paragraph" w:customStyle="1" w:styleId="JuQuotSub">
    <w:name w:val="Ju_Quot_Sub"/>
    <w:basedOn w:val="ECHRParaQuote"/>
    <w:uiPriority w:val="99"/>
    <w:rsid w:val="00D00414"/>
    <w:pPr>
      <w:ind w:left="567"/>
    </w:pPr>
  </w:style>
  <w:style w:type="paragraph" w:customStyle="1" w:styleId="JuInitialled">
    <w:name w:val="Ju_Initialled"/>
    <w:basedOn w:val="Normal"/>
    <w:uiPriority w:val="99"/>
    <w:rsid w:val="00D00414"/>
    <w:pPr>
      <w:tabs>
        <w:tab w:val="center" w:pos="6407"/>
      </w:tabs>
      <w:spacing w:before="720"/>
      <w:jc w:val="right"/>
    </w:pPr>
    <w:rPr>
      <w:lang w:val="fr-FR" w:eastAsia="fr-FR"/>
    </w:rPr>
  </w:style>
  <w:style w:type="paragraph" w:customStyle="1" w:styleId="OpiHA">
    <w:name w:val="Opi_H_A"/>
    <w:basedOn w:val="ECHRHeading1"/>
    <w:next w:val="OpiPara"/>
    <w:uiPriority w:val="99"/>
    <w:rsid w:val="00D00414"/>
    <w:pPr>
      <w:tabs>
        <w:tab w:val="clear" w:pos="357"/>
      </w:tabs>
      <w:outlineLvl w:val="1"/>
    </w:pPr>
    <w:rPr>
      <w:b/>
    </w:rPr>
  </w:style>
  <w:style w:type="character" w:customStyle="1" w:styleId="JUNAMES0">
    <w:name w:val="JU_NAMES"/>
    <w:uiPriority w:val="99"/>
    <w:rsid w:val="00D00414"/>
    <w:rPr>
      <w:smallCaps/>
    </w:rPr>
  </w:style>
  <w:style w:type="paragraph" w:customStyle="1" w:styleId="OpiTranslation">
    <w:name w:val="Opi_Translation"/>
    <w:basedOn w:val="Normal"/>
    <w:next w:val="OpiPara"/>
    <w:uiPriority w:val="99"/>
    <w:rsid w:val="00D00414"/>
    <w:pPr>
      <w:jc w:val="center"/>
      <w:outlineLvl w:val="0"/>
    </w:pPr>
    <w:rPr>
      <w:i/>
      <w:lang w:val="fr-FR" w:eastAsia="fr-FR"/>
    </w:rPr>
  </w:style>
  <w:style w:type="paragraph" w:customStyle="1" w:styleId="DecHTitle">
    <w:name w:val="Dec_H_Title"/>
    <w:basedOn w:val="ECHRTitleCentre1"/>
    <w:uiPriority w:val="99"/>
    <w:semiHidden/>
    <w:rsid w:val="00D00414"/>
  </w:style>
  <w:style w:type="paragraph" w:styleId="TOAHeading">
    <w:name w:val="toa heading"/>
    <w:basedOn w:val="Normal"/>
    <w:next w:val="Normal"/>
    <w:uiPriority w:val="99"/>
    <w:semiHidden/>
    <w:rsid w:val="00D00414"/>
    <w:pPr>
      <w:spacing w:before="120"/>
    </w:pPr>
    <w:rPr>
      <w:b/>
      <w:bCs/>
      <w:color w:val="474747"/>
      <w:szCs w:val="24"/>
    </w:rPr>
  </w:style>
  <w:style w:type="paragraph" w:customStyle="1" w:styleId="ECHRHeading3">
    <w:name w:val="ECHR_Heading_3"/>
    <w:aliases w:val="Ju_H_1."/>
    <w:basedOn w:val="Heading3"/>
    <w:next w:val="ECHRPara"/>
    <w:uiPriority w:val="99"/>
    <w:rsid w:val="00D00414"/>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99"/>
    <w:rsid w:val="00D00414"/>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uiPriority w:val="99"/>
    <w:rsid w:val="00D0041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D00414"/>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uiPriority w:val="99"/>
    <w:rsid w:val="00D00414"/>
    <w:pPr>
      <w:keepNext/>
      <w:keepLines/>
      <w:spacing w:before="240" w:after="120"/>
      <w:ind w:left="1236"/>
    </w:pPr>
    <w:rPr>
      <w:sz w:val="20"/>
    </w:rPr>
  </w:style>
  <w:style w:type="paragraph" w:customStyle="1" w:styleId="DecList">
    <w:name w:val="Dec_List"/>
    <w:basedOn w:val="Normal"/>
    <w:uiPriority w:val="99"/>
    <w:semiHidden/>
    <w:rsid w:val="00D00414"/>
    <w:pPr>
      <w:spacing w:before="240"/>
      <w:ind w:left="284"/>
    </w:pPr>
  </w:style>
  <w:style w:type="paragraph" w:customStyle="1" w:styleId="OpiH1">
    <w:name w:val="Opi_H_1"/>
    <w:basedOn w:val="ECHRHeading2"/>
    <w:uiPriority w:val="99"/>
    <w:rsid w:val="00D00414"/>
    <w:pPr>
      <w:ind w:left="635" w:hanging="357"/>
      <w:outlineLvl w:val="2"/>
    </w:pPr>
  </w:style>
  <w:style w:type="paragraph" w:customStyle="1" w:styleId="OpiHa0">
    <w:name w:val="Opi_H_a"/>
    <w:basedOn w:val="ECHRHeading3"/>
    <w:uiPriority w:val="99"/>
    <w:rsid w:val="00D00414"/>
    <w:pPr>
      <w:ind w:left="833" w:hanging="357"/>
      <w:outlineLvl w:val="3"/>
    </w:pPr>
    <w:rPr>
      <w:b/>
      <w:i w:val="0"/>
      <w:sz w:val="20"/>
    </w:rPr>
  </w:style>
  <w:style w:type="paragraph" w:customStyle="1" w:styleId="OpiHi">
    <w:name w:val="Opi_H_i"/>
    <w:basedOn w:val="ECHRHeading4"/>
    <w:uiPriority w:val="99"/>
    <w:rsid w:val="00D00414"/>
    <w:pPr>
      <w:ind w:left="1037" w:hanging="357"/>
      <w:outlineLvl w:val="4"/>
    </w:pPr>
    <w:rPr>
      <w:b w:val="0"/>
      <w:i/>
    </w:rPr>
  </w:style>
  <w:style w:type="paragraph" w:styleId="Bibliography">
    <w:name w:val="Bibliography"/>
    <w:basedOn w:val="Normal"/>
    <w:next w:val="Normal"/>
    <w:uiPriority w:val="99"/>
    <w:semiHidden/>
    <w:rsid w:val="000C4043"/>
  </w:style>
  <w:style w:type="paragraph" w:styleId="BlockText">
    <w:name w:val="Block Text"/>
    <w:basedOn w:val="Normal"/>
    <w:uiPriority w:val="99"/>
    <w:semiHidden/>
    <w:rsid w:val="000C4043"/>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BodyText">
    <w:name w:val="Body Text"/>
    <w:basedOn w:val="Normal"/>
    <w:link w:val="BodyTextChar"/>
    <w:uiPriority w:val="99"/>
    <w:semiHidden/>
    <w:rsid w:val="000C4043"/>
    <w:pPr>
      <w:spacing w:after="120"/>
    </w:pPr>
  </w:style>
  <w:style w:type="character" w:customStyle="1" w:styleId="BodyTextChar">
    <w:name w:val="Body Text Char"/>
    <w:basedOn w:val="DefaultParagraphFont"/>
    <w:link w:val="BodyText"/>
    <w:uiPriority w:val="99"/>
    <w:locked/>
    <w:rsid w:val="000C4043"/>
    <w:rPr>
      <w:rFonts w:eastAsia="Times New Roman" w:cs="Times New Roman"/>
      <w:sz w:val="24"/>
      <w:lang w:val="en-US" w:eastAsia="en-US"/>
    </w:rPr>
  </w:style>
  <w:style w:type="paragraph" w:styleId="BodyText2">
    <w:name w:val="Body Text 2"/>
    <w:basedOn w:val="Normal"/>
    <w:link w:val="BodyText2Char"/>
    <w:uiPriority w:val="99"/>
    <w:semiHidden/>
    <w:rsid w:val="000C4043"/>
    <w:pPr>
      <w:spacing w:after="120" w:line="480" w:lineRule="auto"/>
    </w:pPr>
  </w:style>
  <w:style w:type="character" w:customStyle="1" w:styleId="BodyText2Char">
    <w:name w:val="Body Text 2 Char"/>
    <w:basedOn w:val="DefaultParagraphFont"/>
    <w:link w:val="BodyText2"/>
    <w:uiPriority w:val="99"/>
    <w:locked/>
    <w:rsid w:val="000C4043"/>
    <w:rPr>
      <w:rFonts w:eastAsia="Times New Roman" w:cs="Times New Roman"/>
      <w:sz w:val="24"/>
      <w:lang w:val="en-US" w:eastAsia="en-US"/>
    </w:rPr>
  </w:style>
  <w:style w:type="paragraph" w:styleId="BodyText3">
    <w:name w:val="Body Text 3"/>
    <w:basedOn w:val="Normal"/>
    <w:link w:val="BodyText3Char"/>
    <w:uiPriority w:val="99"/>
    <w:semiHidden/>
    <w:rsid w:val="000C4043"/>
    <w:pPr>
      <w:spacing w:after="120"/>
    </w:pPr>
    <w:rPr>
      <w:sz w:val="16"/>
      <w:szCs w:val="16"/>
    </w:rPr>
  </w:style>
  <w:style w:type="character" w:customStyle="1" w:styleId="BodyText3Char">
    <w:name w:val="Body Text 3 Char"/>
    <w:basedOn w:val="DefaultParagraphFont"/>
    <w:link w:val="BodyText3"/>
    <w:uiPriority w:val="99"/>
    <w:locked/>
    <w:rsid w:val="000C4043"/>
    <w:rPr>
      <w:rFonts w:eastAsia="Times New Roman" w:cs="Times New Roman"/>
      <w:sz w:val="16"/>
      <w:szCs w:val="16"/>
      <w:lang w:val="en-US" w:eastAsia="en-US"/>
    </w:rPr>
  </w:style>
  <w:style w:type="paragraph" w:styleId="BodyTextFirstIndent">
    <w:name w:val="Body Text First Indent"/>
    <w:basedOn w:val="BodyText"/>
    <w:link w:val="BodyTextFirstIndentChar"/>
    <w:uiPriority w:val="99"/>
    <w:semiHidden/>
    <w:rsid w:val="000C4043"/>
    <w:pPr>
      <w:spacing w:after="0"/>
      <w:ind w:firstLine="360"/>
    </w:pPr>
  </w:style>
  <w:style w:type="character" w:customStyle="1" w:styleId="BodyTextFirstIndentChar">
    <w:name w:val="Body Text First Indent Char"/>
    <w:basedOn w:val="BodyTextChar"/>
    <w:link w:val="BodyTextFirstIndent"/>
    <w:uiPriority w:val="99"/>
    <w:locked/>
    <w:rsid w:val="000C4043"/>
  </w:style>
  <w:style w:type="paragraph" w:styleId="BodyTextIndent">
    <w:name w:val="Body Text Indent"/>
    <w:basedOn w:val="Normal"/>
    <w:link w:val="BodyTextIndentChar"/>
    <w:uiPriority w:val="99"/>
    <w:semiHidden/>
    <w:rsid w:val="000C4043"/>
    <w:pPr>
      <w:spacing w:after="120"/>
      <w:ind w:left="283"/>
    </w:pPr>
  </w:style>
  <w:style w:type="character" w:customStyle="1" w:styleId="BodyTextIndentChar">
    <w:name w:val="Body Text Indent Char"/>
    <w:basedOn w:val="DefaultParagraphFont"/>
    <w:link w:val="BodyTextIndent"/>
    <w:uiPriority w:val="99"/>
    <w:locked/>
    <w:rsid w:val="000C4043"/>
    <w:rPr>
      <w:rFonts w:eastAsia="Times New Roman" w:cs="Times New Roman"/>
      <w:sz w:val="24"/>
      <w:lang w:val="en-US" w:eastAsia="en-US"/>
    </w:rPr>
  </w:style>
  <w:style w:type="paragraph" w:styleId="BodyTextFirstIndent2">
    <w:name w:val="Body Text First Indent 2"/>
    <w:basedOn w:val="BodyTextIndent"/>
    <w:link w:val="BodyTextFirstIndent2Char"/>
    <w:uiPriority w:val="99"/>
    <w:semiHidden/>
    <w:rsid w:val="000C4043"/>
    <w:pPr>
      <w:spacing w:after="0"/>
      <w:ind w:left="360" w:firstLine="360"/>
    </w:pPr>
  </w:style>
  <w:style w:type="character" w:customStyle="1" w:styleId="BodyTextFirstIndent2Char">
    <w:name w:val="Body Text First Indent 2 Char"/>
    <w:basedOn w:val="BodyTextIndentChar"/>
    <w:link w:val="BodyTextFirstIndent2"/>
    <w:uiPriority w:val="99"/>
    <w:locked/>
    <w:rsid w:val="000C4043"/>
  </w:style>
  <w:style w:type="paragraph" w:styleId="BodyTextIndent2">
    <w:name w:val="Body Text Indent 2"/>
    <w:basedOn w:val="Normal"/>
    <w:link w:val="BodyTextIndent2Char"/>
    <w:uiPriority w:val="99"/>
    <w:semiHidden/>
    <w:rsid w:val="000C4043"/>
    <w:pPr>
      <w:spacing w:after="120" w:line="480" w:lineRule="auto"/>
      <w:ind w:left="283"/>
    </w:pPr>
  </w:style>
  <w:style w:type="character" w:customStyle="1" w:styleId="BodyTextIndent2Char">
    <w:name w:val="Body Text Indent 2 Char"/>
    <w:basedOn w:val="DefaultParagraphFont"/>
    <w:link w:val="BodyTextIndent2"/>
    <w:uiPriority w:val="99"/>
    <w:locked/>
    <w:rsid w:val="000C4043"/>
    <w:rPr>
      <w:rFonts w:eastAsia="Times New Roman" w:cs="Times New Roman"/>
      <w:sz w:val="24"/>
      <w:lang w:val="en-US" w:eastAsia="en-US"/>
    </w:rPr>
  </w:style>
  <w:style w:type="paragraph" w:styleId="BodyTextIndent3">
    <w:name w:val="Body Text Indent 3"/>
    <w:basedOn w:val="Normal"/>
    <w:link w:val="BodyTextIndent3Char"/>
    <w:uiPriority w:val="99"/>
    <w:semiHidden/>
    <w:rsid w:val="000C404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C4043"/>
    <w:rPr>
      <w:rFonts w:eastAsia="Times New Roman" w:cs="Times New Roman"/>
      <w:sz w:val="16"/>
      <w:szCs w:val="16"/>
      <w:lang w:val="en-US" w:eastAsia="en-US"/>
    </w:rPr>
  </w:style>
  <w:style w:type="paragraph" w:styleId="Caption">
    <w:name w:val="caption"/>
    <w:basedOn w:val="Normal"/>
    <w:next w:val="Normal"/>
    <w:uiPriority w:val="99"/>
    <w:qFormat/>
    <w:rsid w:val="000C4043"/>
    <w:pPr>
      <w:spacing w:after="200"/>
    </w:pPr>
    <w:rPr>
      <w:b/>
      <w:bCs/>
      <w:color w:val="0072BC"/>
      <w:sz w:val="18"/>
      <w:szCs w:val="18"/>
      <w:lang w:val="fr-FR" w:eastAsia="fr-FR"/>
    </w:rPr>
  </w:style>
  <w:style w:type="paragraph" w:styleId="Closing">
    <w:name w:val="Closing"/>
    <w:basedOn w:val="Normal"/>
    <w:link w:val="ClosingChar"/>
    <w:uiPriority w:val="99"/>
    <w:semiHidden/>
    <w:rsid w:val="000C4043"/>
    <w:pPr>
      <w:ind w:left="4252"/>
    </w:pPr>
  </w:style>
  <w:style w:type="character" w:customStyle="1" w:styleId="ClosingChar">
    <w:name w:val="Closing Char"/>
    <w:basedOn w:val="DefaultParagraphFont"/>
    <w:link w:val="Closing"/>
    <w:uiPriority w:val="99"/>
    <w:locked/>
    <w:rsid w:val="000C4043"/>
    <w:rPr>
      <w:rFonts w:eastAsia="Times New Roman" w:cs="Times New Roman"/>
      <w:sz w:val="24"/>
      <w:lang w:val="en-US" w:eastAsia="en-US"/>
    </w:rPr>
  </w:style>
  <w:style w:type="table" w:styleId="ColorfulGrid">
    <w:name w:val="Colorful Grid"/>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0C4043"/>
    <w:rPr>
      <w:color w:val="000000"/>
      <w:sz w:val="20"/>
      <w:szCs w:val="2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0C4043"/>
    <w:rPr>
      <w:color w:val="000000"/>
      <w:sz w:val="20"/>
      <w:szCs w:val="2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0C4043"/>
    <w:rPr>
      <w:color w:val="000000"/>
      <w:sz w:val="20"/>
      <w:szCs w:val="2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0C4043"/>
    <w:rPr>
      <w:color w:val="000000"/>
      <w:sz w:val="20"/>
      <w:szCs w:val="2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0C4043"/>
    <w:rPr>
      <w:color w:val="000000"/>
      <w:sz w:val="20"/>
      <w:szCs w:val="2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0C4043"/>
    <w:rPr>
      <w:color w:val="000000"/>
      <w:sz w:val="20"/>
      <w:szCs w:val="2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0C4043"/>
    <w:rPr>
      <w:color w:val="000000"/>
      <w:sz w:val="20"/>
      <w:szCs w:val="2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C4043"/>
  </w:style>
  <w:style w:type="character" w:customStyle="1" w:styleId="DateChar">
    <w:name w:val="Date Char"/>
    <w:basedOn w:val="DefaultParagraphFont"/>
    <w:link w:val="Date"/>
    <w:uiPriority w:val="99"/>
    <w:locked/>
    <w:rsid w:val="000C4043"/>
    <w:rPr>
      <w:rFonts w:eastAsia="Times New Roman" w:cs="Times New Roman"/>
      <w:sz w:val="24"/>
      <w:lang w:val="en-US" w:eastAsia="en-US"/>
    </w:rPr>
  </w:style>
  <w:style w:type="paragraph" w:styleId="E-mailSignature">
    <w:name w:val="E-mail Signature"/>
    <w:basedOn w:val="Normal"/>
    <w:link w:val="E-mailSignatureChar"/>
    <w:uiPriority w:val="99"/>
    <w:semiHidden/>
    <w:rsid w:val="000C4043"/>
  </w:style>
  <w:style w:type="character" w:customStyle="1" w:styleId="E-mailSignatureChar">
    <w:name w:val="E-mail Signature Char"/>
    <w:basedOn w:val="DefaultParagraphFont"/>
    <w:link w:val="E-mailSignature"/>
    <w:uiPriority w:val="99"/>
    <w:locked/>
    <w:rsid w:val="000C4043"/>
    <w:rPr>
      <w:rFonts w:eastAsia="Times New Roman" w:cs="Times New Roman"/>
      <w:sz w:val="24"/>
      <w:lang w:val="en-US" w:eastAsia="en-US"/>
    </w:rPr>
  </w:style>
  <w:style w:type="paragraph" w:styleId="EnvelopeAddress">
    <w:name w:val="envelope address"/>
    <w:basedOn w:val="Normal"/>
    <w:uiPriority w:val="99"/>
    <w:semiHidden/>
    <w:rsid w:val="000C4043"/>
    <w:pPr>
      <w:framePr w:w="7938" w:h="1985" w:hRule="exact" w:hSpace="141" w:wrap="auto" w:hAnchor="page" w:xAlign="center" w:yAlign="bottom"/>
      <w:ind w:left="2835"/>
    </w:pPr>
    <w:rPr>
      <w:szCs w:val="24"/>
    </w:rPr>
  </w:style>
  <w:style w:type="paragraph" w:styleId="EnvelopeReturn">
    <w:name w:val="envelope return"/>
    <w:basedOn w:val="Normal"/>
    <w:uiPriority w:val="99"/>
    <w:semiHidden/>
    <w:rsid w:val="000C4043"/>
    <w:rPr>
      <w:sz w:val="20"/>
      <w:szCs w:val="20"/>
    </w:rPr>
  </w:style>
  <w:style w:type="character" w:styleId="HTMLAcronym">
    <w:name w:val="HTML Acronym"/>
    <w:basedOn w:val="DefaultParagraphFont"/>
    <w:uiPriority w:val="99"/>
    <w:semiHidden/>
    <w:rsid w:val="000C4043"/>
    <w:rPr>
      <w:rFonts w:cs="Times New Roman"/>
    </w:rPr>
  </w:style>
  <w:style w:type="paragraph" w:styleId="HTMLAddress">
    <w:name w:val="HTML Address"/>
    <w:basedOn w:val="Normal"/>
    <w:link w:val="HTMLAddressChar"/>
    <w:uiPriority w:val="99"/>
    <w:semiHidden/>
    <w:rsid w:val="000C4043"/>
    <w:rPr>
      <w:i/>
      <w:iCs/>
    </w:rPr>
  </w:style>
  <w:style w:type="character" w:customStyle="1" w:styleId="HTMLAddressChar">
    <w:name w:val="HTML Address Char"/>
    <w:basedOn w:val="DefaultParagraphFont"/>
    <w:link w:val="HTMLAddress"/>
    <w:uiPriority w:val="99"/>
    <w:locked/>
    <w:rsid w:val="000C4043"/>
    <w:rPr>
      <w:rFonts w:eastAsia="Times New Roman" w:cs="Times New Roman"/>
      <w:i/>
      <w:iCs/>
      <w:sz w:val="24"/>
      <w:lang w:val="en-US" w:eastAsia="en-US"/>
    </w:rPr>
  </w:style>
  <w:style w:type="character" w:styleId="HTMLCite">
    <w:name w:val="HTML Cite"/>
    <w:basedOn w:val="DefaultParagraphFont"/>
    <w:uiPriority w:val="99"/>
    <w:semiHidden/>
    <w:rsid w:val="000C4043"/>
    <w:rPr>
      <w:rFonts w:cs="Times New Roman"/>
      <w:i/>
      <w:iCs/>
    </w:rPr>
  </w:style>
  <w:style w:type="character" w:styleId="HTMLCode">
    <w:name w:val="HTML Code"/>
    <w:basedOn w:val="DefaultParagraphFont"/>
    <w:uiPriority w:val="99"/>
    <w:semiHidden/>
    <w:rsid w:val="000C4043"/>
    <w:rPr>
      <w:rFonts w:ascii="Consolas" w:hAnsi="Consolas" w:cs="Consolas"/>
      <w:sz w:val="20"/>
      <w:szCs w:val="20"/>
    </w:rPr>
  </w:style>
  <w:style w:type="character" w:styleId="HTMLDefinition">
    <w:name w:val="HTML Definition"/>
    <w:basedOn w:val="DefaultParagraphFont"/>
    <w:uiPriority w:val="99"/>
    <w:semiHidden/>
    <w:rsid w:val="000C4043"/>
    <w:rPr>
      <w:rFonts w:cs="Times New Roman"/>
      <w:i/>
      <w:iCs/>
    </w:rPr>
  </w:style>
  <w:style w:type="character" w:styleId="HTMLKeyboard">
    <w:name w:val="HTML Keyboard"/>
    <w:basedOn w:val="DefaultParagraphFont"/>
    <w:uiPriority w:val="99"/>
    <w:semiHidden/>
    <w:rsid w:val="000C4043"/>
    <w:rPr>
      <w:rFonts w:ascii="Consolas" w:hAnsi="Consolas" w:cs="Consolas"/>
      <w:sz w:val="20"/>
      <w:szCs w:val="20"/>
    </w:rPr>
  </w:style>
  <w:style w:type="paragraph" w:styleId="HTMLPreformatted">
    <w:name w:val="HTML Preformatted"/>
    <w:basedOn w:val="Normal"/>
    <w:link w:val="HTMLPreformattedChar"/>
    <w:uiPriority w:val="99"/>
    <w:semiHidden/>
    <w:rsid w:val="000C4043"/>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0C4043"/>
    <w:rPr>
      <w:rFonts w:ascii="Consolas" w:hAnsi="Consolas" w:cs="Consolas"/>
      <w:sz w:val="20"/>
      <w:szCs w:val="20"/>
      <w:lang w:val="en-US" w:eastAsia="en-US"/>
    </w:rPr>
  </w:style>
  <w:style w:type="character" w:styleId="HTMLSample">
    <w:name w:val="HTML Sample"/>
    <w:basedOn w:val="DefaultParagraphFont"/>
    <w:uiPriority w:val="99"/>
    <w:semiHidden/>
    <w:rsid w:val="000C4043"/>
    <w:rPr>
      <w:rFonts w:ascii="Consolas" w:hAnsi="Consolas" w:cs="Consolas"/>
      <w:sz w:val="24"/>
      <w:szCs w:val="24"/>
    </w:rPr>
  </w:style>
  <w:style w:type="character" w:styleId="HTMLTypewriter">
    <w:name w:val="HTML Typewriter"/>
    <w:basedOn w:val="DefaultParagraphFont"/>
    <w:uiPriority w:val="99"/>
    <w:semiHidden/>
    <w:rsid w:val="000C4043"/>
    <w:rPr>
      <w:rFonts w:ascii="Consolas" w:hAnsi="Consolas" w:cs="Consolas"/>
      <w:sz w:val="20"/>
      <w:szCs w:val="20"/>
    </w:rPr>
  </w:style>
  <w:style w:type="character" w:styleId="HTMLVariable">
    <w:name w:val="HTML Variable"/>
    <w:basedOn w:val="DefaultParagraphFont"/>
    <w:uiPriority w:val="99"/>
    <w:semiHidden/>
    <w:rsid w:val="000C4043"/>
    <w:rPr>
      <w:rFonts w:cs="Times New Roman"/>
      <w:i/>
      <w:iCs/>
    </w:rPr>
  </w:style>
  <w:style w:type="paragraph" w:styleId="Index1">
    <w:name w:val="index 1"/>
    <w:basedOn w:val="Normal"/>
    <w:next w:val="Normal"/>
    <w:autoRedefine/>
    <w:uiPriority w:val="99"/>
    <w:semiHidden/>
    <w:rsid w:val="000C4043"/>
    <w:pPr>
      <w:ind w:left="240" w:hanging="240"/>
    </w:pPr>
  </w:style>
  <w:style w:type="paragraph" w:styleId="Index2">
    <w:name w:val="index 2"/>
    <w:basedOn w:val="Normal"/>
    <w:next w:val="Normal"/>
    <w:autoRedefine/>
    <w:uiPriority w:val="99"/>
    <w:semiHidden/>
    <w:rsid w:val="000C4043"/>
    <w:pPr>
      <w:ind w:left="480" w:hanging="240"/>
    </w:pPr>
  </w:style>
  <w:style w:type="paragraph" w:styleId="Index3">
    <w:name w:val="index 3"/>
    <w:basedOn w:val="Normal"/>
    <w:next w:val="Normal"/>
    <w:autoRedefine/>
    <w:uiPriority w:val="99"/>
    <w:semiHidden/>
    <w:rsid w:val="000C4043"/>
    <w:pPr>
      <w:ind w:left="720" w:hanging="240"/>
    </w:pPr>
  </w:style>
  <w:style w:type="paragraph" w:styleId="Index4">
    <w:name w:val="index 4"/>
    <w:basedOn w:val="Normal"/>
    <w:next w:val="Normal"/>
    <w:autoRedefine/>
    <w:uiPriority w:val="99"/>
    <w:semiHidden/>
    <w:rsid w:val="000C4043"/>
    <w:pPr>
      <w:ind w:left="960" w:hanging="240"/>
    </w:pPr>
  </w:style>
  <w:style w:type="paragraph" w:styleId="Index5">
    <w:name w:val="index 5"/>
    <w:basedOn w:val="Normal"/>
    <w:next w:val="Normal"/>
    <w:autoRedefine/>
    <w:uiPriority w:val="99"/>
    <w:semiHidden/>
    <w:rsid w:val="000C4043"/>
    <w:pPr>
      <w:ind w:left="1200" w:hanging="240"/>
    </w:pPr>
  </w:style>
  <w:style w:type="paragraph" w:styleId="Index6">
    <w:name w:val="index 6"/>
    <w:basedOn w:val="Normal"/>
    <w:next w:val="Normal"/>
    <w:autoRedefine/>
    <w:uiPriority w:val="99"/>
    <w:semiHidden/>
    <w:rsid w:val="000C4043"/>
    <w:pPr>
      <w:ind w:left="1440" w:hanging="240"/>
    </w:pPr>
  </w:style>
  <w:style w:type="paragraph" w:styleId="Index7">
    <w:name w:val="index 7"/>
    <w:basedOn w:val="Normal"/>
    <w:next w:val="Normal"/>
    <w:autoRedefine/>
    <w:uiPriority w:val="99"/>
    <w:semiHidden/>
    <w:rsid w:val="000C4043"/>
    <w:pPr>
      <w:ind w:left="1680" w:hanging="240"/>
    </w:pPr>
  </w:style>
  <w:style w:type="paragraph" w:styleId="Index8">
    <w:name w:val="index 8"/>
    <w:basedOn w:val="Normal"/>
    <w:next w:val="Normal"/>
    <w:autoRedefine/>
    <w:uiPriority w:val="99"/>
    <w:semiHidden/>
    <w:rsid w:val="000C4043"/>
    <w:pPr>
      <w:ind w:left="1920" w:hanging="240"/>
    </w:pPr>
  </w:style>
  <w:style w:type="paragraph" w:styleId="Index9">
    <w:name w:val="index 9"/>
    <w:basedOn w:val="Normal"/>
    <w:next w:val="Normal"/>
    <w:autoRedefine/>
    <w:uiPriority w:val="99"/>
    <w:semiHidden/>
    <w:rsid w:val="000C4043"/>
    <w:pPr>
      <w:ind w:left="2160" w:hanging="240"/>
    </w:pPr>
  </w:style>
  <w:style w:type="paragraph" w:styleId="IndexHeading">
    <w:name w:val="index heading"/>
    <w:basedOn w:val="Normal"/>
    <w:next w:val="Index1"/>
    <w:uiPriority w:val="99"/>
    <w:semiHidden/>
    <w:rsid w:val="000C4043"/>
    <w:rPr>
      <w:b/>
      <w:bCs/>
    </w:rPr>
  </w:style>
  <w:style w:type="table" w:styleId="LightGrid">
    <w:name w:val="Light Grid"/>
    <w:basedOn w:val="TableNormal"/>
    <w:uiPriority w:val="99"/>
    <w:semiHidden/>
    <w:rsid w:val="000C4043"/>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Times New Roman"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C4043"/>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Times New Roman"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C4043"/>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C4043"/>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Times New Roman"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C4043"/>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C4043"/>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Times New Roman"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C4043"/>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C4043"/>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C4043"/>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C4043"/>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C4043"/>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C4043"/>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C4043"/>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C4043"/>
    <w:rPr>
      <w:color w:val="00548C"/>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C4043"/>
    <w:rPr>
      <w:color w:val="8F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C4043"/>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C4043"/>
    <w:rPr>
      <w:color w:val="70707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C4043"/>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C4043"/>
    <w:rPr>
      <w:color w:val="393939"/>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C4043"/>
    <w:rPr>
      <w:rFonts w:cs="Times New Roman"/>
    </w:rPr>
  </w:style>
  <w:style w:type="paragraph" w:styleId="List">
    <w:name w:val="List"/>
    <w:basedOn w:val="Normal"/>
    <w:uiPriority w:val="99"/>
    <w:semiHidden/>
    <w:rsid w:val="000C4043"/>
    <w:pPr>
      <w:ind w:left="283" w:hanging="283"/>
      <w:contextualSpacing/>
    </w:pPr>
  </w:style>
  <w:style w:type="paragraph" w:styleId="List2">
    <w:name w:val="List 2"/>
    <w:basedOn w:val="Normal"/>
    <w:uiPriority w:val="99"/>
    <w:semiHidden/>
    <w:rsid w:val="000C4043"/>
    <w:pPr>
      <w:ind w:left="566" w:hanging="283"/>
      <w:contextualSpacing/>
    </w:pPr>
  </w:style>
  <w:style w:type="paragraph" w:styleId="List3">
    <w:name w:val="List 3"/>
    <w:basedOn w:val="Normal"/>
    <w:uiPriority w:val="99"/>
    <w:semiHidden/>
    <w:rsid w:val="000C4043"/>
    <w:pPr>
      <w:ind w:left="849" w:hanging="283"/>
      <w:contextualSpacing/>
    </w:pPr>
  </w:style>
  <w:style w:type="paragraph" w:styleId="List4">
    <w:name w:val="List 4"/>
    <w:basedOn w:val="Normal"/>
    <w:uiPriority w:val="99"/>
    <w:semiHidden/>
    <w:rsid w:val="000C4043"/>
    <w:pPr>
      <w:ind w:left="1132" w:hanging="283"/>
      <w:contextualSpacing/>
    </w:pPr>
  </w:style>
  <w:style w:type="paragraph" w:styleId="List5">
    <w:name w:val="List 5"/>
    <w:basedOn w:val="Normal"/>
    <w:uiPriority w:val="99"/>
    <w:semiHidden/>
    <w:rsid w:val="000C4043"/>
    <w:pPr>
      <w:ind w:left="1415" w:hanging="283"/>
      <w:contextualSpacing/>
    </w:pPr>
  </w:style>
  <w:style w:type="paragraph" w:styleId="ListBullet2">
    <w:name w:val="List Bullet 2"/>
    <w:basedOn w:val="Normal"/>
    <w:uiPriority w:val="99"/>
    <w:semiHidden/>
    <w:rsid w:val="000C4043"/>
    <w:pPr>
      <w:numPr>
        <w:numId w:val="16"/>
      </w:numPr>
      <w:contextualSpacing/>
    </w:pPr>
  </w:style>
  <w:style w:type="paragraph" w:styleId="ListBullet3">
    <w:name w:val="List Bullet 3"/>
    <w:basedOn w:val="Normal"/>
    <w:uiPriority w:val="99"/>
    <w:semiHidden/>
    <w:rsid w:val="000C4043"/>
    <w:pPr>
      <w:numPr>
        <w:numId w:val="17"/>
      </w:numPr>
      <w:contextualSpacing/>
    </w:pPr>
  </w:style>
  <w:style w:type="paragraph" w:styleId="ListBullet4">
    <w:name w:val="List Bullet 4"/>
    <w:basedOn w:val="Normal"/>
    <w:uiPriority w:val="99"/>
    <w:semiHidden/>
    <w:rsid w:val="000C4043"/>
    <w:pPr>
      <w:numPr>
        <w:numId w:val="18"/>
      </w:numPr>
      <w:contextualSpacing/>
    </w:pPr>
  </w:style>
  <w:style w:type="paragraph" w:styleId="ListBullet5">
    <w:name w:val="List Bullet 5"/>
    <w:basedOn w:val="Normal"/>
    <w:uiPriority w:val="99"/>
    <w:semiHidden/>
    <w:rsid w:val="000C4043"/>
    <w:pPr>
      <w:numPr>
        <w:numId w:val="19"/>
      </w:numPr>
      <w:contextualSpacing/>
    </w:pPr>
  </w:style>
  <w:style w:type="paragraph" w:styleId="ListContinue">
    <w:name w:val="List Continue"/>
    <w:basedOn w:val="Normal"/>
    <w:uiPriority w:val="99"/>
    <w:semiHidden/>
    <w:rsid w:val="000C4043"/>
    <w:pPr>
      <w:spacing w:after="120"/>
      <w:ind w:left="283"/>
      <w:contextualSpacing/>
    </w:pPr>
  </w:style>
  <w:style w:type="paragraph" w:styleId="ListContinue2">
    <w:name w:val="List Continue 2"/>
    <w:basedOn w:val="Normal"/>
    <w:uiPriority w:val="99"/>
    <w:semiHidden/>
    <w:rsid w:val="000C4043"/>
    <w:pPr>
      <w:spacing w:after="120"/>
      <w:ind w:left="566"/>
      <w:contextualSpacing/>
    </w:pPr>
  </w:style>
  <w:style w:type="paragraph" w:styleId="ListContinue3">
    <w:name w:val="List Continue 3"/>
    <w:basedOn w:val="Normal"/>
    <w:uiPriority w:val="99"/>
    <w:semiHidden/>
    <w:rsid w:val="000C4043"/>
    <w:pPr>
      <w:spacing w:after="120"/>
      <w:ind w:left="849"/>
      <w:contextualSpacing/>
    </w:pPr>
  </w:style>
  <w:style w:type="paragraph" w:styleId="ListContinue4">
    <w:name w:val="List Continue 4"/>
    <w:basedOn w:val="Normal"/>
    <w:uiPriority w:val="99"/>
    <w:semiHidden/>
    <w:rsid w:val="000C4043"/>
    <w:pPr>
      <w:spacing w:after="120"/>
      <w:ind w:left="1132"/>
      <w:contextualSpacing/>
    </w:pPr>
  </w:style>
  <w:style w:type="paragraph" w:styleId="ListContinue5">
    <w:name w:val="List Continue 5"/>
    <w:basedOn w:val="Normal"/>
    <w:uiPriority w:val="99"/>
    <w:semiHidden/>
    <w:rsid w:val="000C4043"/>
    <w:pPr>
      <w:spacing w:after="120"/>
      <w:ind w:left="1415"/>
      <w:contextualSpacing/>
    </w:pPr>
  </w:style>
  <w:style w:type="paragraph" w:styleId="ListNumber">
    <w:name w:val="List Number"/>
    <w:basedOn w:val="Normal"/>
    <w:uiPriority w:val="99"/>
    <w:semiHidden/>
    <w:rsid w:val="000C4043"/>
    <w:pPr>
      <w:numPr>
        <w:numId w:val="20"/>
      </w:numPr>
      <w:contextualSpacing/>
    </w:pPr>
  </w:style>
  <w:style w:type="paragraph" w:styleId="ListNumber2">
    <w:name w:val="List Number 2"/>
    <w:basedOn w:val="Normal"/>
    <w:uiPriority w:val="99"/>
    <w:semiHidden/>
    <w:rsid w:val="000C4043"/>
    <w:pPr>
      <w:numPr>
        <w:numId w:val="21"/>
      </w:numPr>
      <w:contextualSpacing/>
    </w:pPr>
  </w:style>
  <w:style w:type="paragraph" w:styleId="ListNumber3">
    <w:name w:val="List Number 3"/>
    <w:basedOn w:val="Normal"/>
    <w:uiPriority w:val="99"/>
    <w:semiHidden/>
    <w:rsid w:val="000C4043"/>
    <w:pPr>
      <w:numPr>
        <w:numId w:val="22"/>
      </w:numPr>
      <w:contextualSpacing/>
    </w:pPr>
  </w:style>
  <w:style w:type="paragraph" w:styleId="ListNumber4">
    <w:name w:val="List Number 4"/>
    <w:basedOn w:val="Normal"/>
    <w:uiPriority w:val="99"/>
    <w:semiHidden/>
    <w:rsid w:val="000C4043"/>
    <w:pPr>
      <w:numPr>
        <w:numId w:val="23"/>
      </w:numPr>
      <w:contextualSpacing/>
    </w:pPr>
  </w:style>
  <w:style w:type="paragraph" w:styleId="ListNumber5">
    <w:name w:val="List Number 5"/>
    <w:basedOn w:val="Normal"/>
    <w:uiPriority w:val="99"/>
    <w:semiHidden/>
    <w:rsid w:val="000C4043"/>
    <w:pPr>
      <w:numPr>
        <w:numId w:val="24"/>
      </w:numPr>
      <w:contextualSpacing/>
    </w:pPr>
  </w:style>
  <w:style w:type="paragraph" w:styleId="MacroText">
    <w:name w:val="macro"/>
    <w:link w:val="MacroTextChar"/>
    <w:uiPriority w:val="99"/>
    <w:semiHidden/>
    <w:rsid w:val="000C404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lang w:val="en-US" w:eastAsia="en-US"/>
    </w:rPr>
  </w:style>
  <w:style w:type="character" w:customStyle="1" w:styleId="MacroTextChar">
    <w:name w:val="Macro Text Char"/>
    <w:basedOn w:val="DefaultParagraphFont"/>
    <w:link w:val="MacroText"/>
    <w:uiPriority w:val="99"/>
    <w:semiHidden/>
    <w:locked/>
    <w:rsid w:val="000C4043"/>
    <w:rPr>
      <w:rFonts w:ascii="Consolas" w:hAnsi="Consolas" w:cs="Consolas"/>
      <w:lang w:val="en-US" w:eastAsia="en-US" w:bidi="ar-SA"/>
    </w:rPr>
  </w:style>
  <w:style w:type="table" w:styleId="MediumGrid1">
    <w:name w:val="Medium Grid 1"/>
    <w:basedOn w:val="TableNormal"/>
    <w:uiPriority w:val="99"/>
    <w:semiHidden/>
    <w:rsid w:val="000C4043"/>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0C4043"/>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0C4043"/>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0C4043"/>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0C4043"/>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0C4043"/>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0C4043"/>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0C4043"/>
    <w:rPr>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0C4043"/>
    <w:rPr>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0C4043"/>
    <w:rPr>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0C4043"/>
    <w:rPr>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0C4043"/>
    <w:rPr>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0C4043"/>
    <w:rPr>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0C4043"/>
    <w:rPr>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C4043"/>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0C4043"/>
    <w:rPr>
      <w:color w:val="000000"/>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0C4043"/>
    <w:rPr>
      <w:color w:val="00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0C4043"/>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0C4043"/>
    <w:rPr>
      <w:color w:val="00000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0C4043"/>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0C4043"/>
    <w:rPr>
      <w:color w:val="00000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0C4043"/>
    <w:rPr>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0C4043"/>
    <w:rPr>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0C4043"/>
    <w:rPr>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0C4043"/>
    <w:rPr>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0C4043"/>
    <w:rPr>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0C4043"/>
    <w:rPr>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0C4043"/>
    <w:rPr>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0C4043"/>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0C4043"/>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0C4043"/>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0C4043"/>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0C4043"/>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0C4043"/>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0C4043"/>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C4043"/>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uiPriority w:val="99"/>
    <w:locked/>
    <w:rsid w:val="000C4043"/>
    <w:rPr>
      <w:rFonts w:ascii="Times New Roman" w:hAnsi="Times New Roman" w:cs="Times New Roman"/>
      <w:sz w:val="24"/>
      <w:szCs w:val="24"/>
      <w:shd w:val="pct20" w:color="auto" w:fill="auto"/>
      <w:lang w:val="en-US" w:eastAsia="en-US"/>
    </w:rPr>
  </w:style>
  <w:style w:type="paragraph" w:styleId="NormalWeb">
    <w:name w:val="Normal (Web)"/>
    <w:basedOn w:val="Normal"/>
    <w:uiPriority w:val="99"/>
    <w:semiHidden/>
    <w:rsid w:val="000C4043"/>
    <w:rPr>
      <w:szCs w:val="24"/>
    </w:rPr>
  </w:style>
  <w:style w:type="paragraph" w:styleId="NormalIndent">
    <w:name w:val="Normal Indent"/>
    <w:basedOn w:val="Normal"/>
    <w:uiPriority w:val="99"/>
    <w:semiHidden/>
    <w:rsid w:val="000C4043"/>
    <w:pPr>
      <w:ind w:left="720"/>
    </w:pPr>
  </w:style>
  <w:style w:type="paragraph" w:styleId="NoteHeading">
    <w:name w:val="Note Heading"/>
    <w:basedOn w:val="Normal"/>
    <w:next w:val="Normal"/>
    <w:link w:val="NoteHeadingChar"/>
    <w:uiPriority w:val="99"/>
    <w:semiHidden/>
    <w:rsid w:val="000C4043"/>
  </w:style>
  <w:style w:type="character" w:customStyle="1" w:styleId="NoteHeadingChar">
    <w:name w:val="Note Heading Char"/>
    <w:basedOn w:val="DefaultParagraphFont"/>
    <w:link w:val="NoteHeading"/>
    <w:uiPriority w:val="99"/>
    <w:locked/>
    <w:rsid w:val="000C4043"/>
    <w:rPr>
      <w:rFonts w:eastAsia="Times New Roman" w:cs="Times New Roman"/>
      <w:sz w:val="24"/>
      <w:lang w:val="en-US" w:eastAsia="en-US"/>
    </w:rPr>
  </w:style>
  <w:style w:type="character" w:styleId="PlaceholderText">
    <w:name w:val="Placeholder Text"/>
    <w:basedOn w:val="DefaultParagraphFont"/>
    <w:uiPriority w:val="99"/>
    <w:semiHidden/>
    <w:rsid w:val="000C4043"/>
    <w:rPr>
      <w:rFonts w:cs="Times New Roman"/>
      <w:color w:val="808080"/>
    </w:rPr>
  </w:style>
  <w:style w:type="paragraph" w:styleId="PlainText">
    <w:name w:val="Plain Text"/>
    <w:basedOn w:val="Normal"/>
    <w:link w:val="PlainTextChar"/>
    <w:uiPriority w:val="99"/>
    <w:semiHidden/>
    <w:rsid w:val="000C4043"/>
    <w:rPr>
      <w:rFonts w:ascii="Consolas" w:hAnsi="Consolas" w:cs="Consolas"/>
      <w:sz w:val="21"/>
      <w:szCs w:val="21"/>
    </w:rPr>
  </w:style>
  <w:style w:type="character" w:customStyle="1" w:styleId="PlainTextChar">
    <w:name w:val="Plain Text Char"/>
    <w:basedOn w:val="DefaultParagraphFont"/>
    <w:link w:val="PlainText"/>
    <w:uiPriority w:val="99"/>
    <w:locked/>
    <w:rsid w:val="000C4043"/>
    <w:rPr>
      <w:rFonts w:ascii="Consolas" w:hAnsi="Consolas" w:cs="Consolas"/>
      <w:sz w:val="21"/>
      <w:szCs w:val="21"/>
      <w:lang w:val="en-US" w:eastAsia="en-US"/>
    </w:rPr>
  </w:style>
  <w:style w:type="paragraph" w:styleId="Salutation">
    <w:name w:val="Salutation"/>
    <w:basedOn w:val="Normal"/>
    <w:next w:val="Normal"/>
    <w:link w:val="SalutationChar"/>
    <w:uiPriority w:val="99"/>
    <w:semiHidden/>
    <w:rsid w:val="000C4043"/>
  </w:style>
  <w:style w:type="character" w:customStyle="1" w:styleId="SalutationChar">
    <w:name w:val="Salutation Char"/>
    <w:basedOn w:val="DefaultParagraphFont"/>
    <w:link w:val="Salutation"/>
    <w:uiPriority w:val="99"/>
    <w:locked/>
    <w:rsid w:val="000C4043"/>
    <w:rPr>
      <w:rFonts w:eastAsia="Times New Roman" w:cs="Times New Roman"/>
      <w:sz w:val="24"/>
      <w:lang w:val="en-US" w:eastAsia="en-US"/>
    </w:rPr>
  </w:style>
  <w:style w:type="paragraph" w:styleId="Signature">
    <w:name w:val="Signature"/>
    <w:basedOn w:val="Normal"/>
    <w:link w:val="SignatureChar"/>
    <w:uiPriority w:val="99"/>
    <w:semiHidden/>
    <w:rsid w:val="000C4043"/>
    <w:pPr>
      <w:ind w:left="4252"/>
    </w:pPr>
  </w:style>
  <w:style w:type="character" w:customStyle="1" w:styleId="SignatureChar">
    <w:name w:val="Signature Char"/>
    <w:basedOn w:val="DefaultParagraphFont"/>
    <w:link w:val="Signature"/>
    <w:uiPriority w:val="99"/>
    <w:locked/>
    <w:rsid w:val="000C4043"/>
    <w:rPr>
      <w:rFonts w:eastAsia="Times New Roman" w:cs="Times New Roman"/>
      <w:sz w:val="24"/>
      <w:lang w:val="en-US" w:eastAsia="en-US"/>
    </w:rPr>
  </w:style>
  <w:style w:type="table" w:styleId="Table3Deffects1">
    <w:name w:val="Table 3D effects 1"/>
    <w:basedOn w:val="TableNormal"/>
    <w:uiPriority w:val="99"/>
    <w:semiHidden/>
    <w:rsid w:val="000C4043"/>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C4043"/>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C4043"/>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C4043"/>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C4043"/>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C4043"/>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C4043"/>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C4043"/>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C4043"/>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C4043"/>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C4043"/>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C4043"/>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C4043"/>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C4043"/>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C4043"/>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C4043"/>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C4043"/>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C4043"/>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C4043"/>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C4043"/>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C4043"/>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C4043"/>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C4043"/>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C4043"/>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C4043"/>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C4043"/>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C4043"/>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C4043"/>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C4043"/>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C4043"/>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C4043"/>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C4043"/>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C4043"/>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C4043"/>
    <w:pPr>
      <w:ind w:left="240" w:hanging="240"/>
    </w:pPr>
  </w:style>
  <w:style w:type="paragraph" w:styleId="TableofFigures">
    <w:name w:val="table of figures"/>
    <w:basedOn w:val="Normal"/>
    <w:next w:val="Normal"/>
    <w:uiPriority w:val="99"/>
    <w:semiHidden/>
    <w:rsid w:val="000C4043"/>
  </w:style>
  <w:style w:type="table" w:styleId="TableProfessional">
    <w:name w:val="Table Professional"/>
    <w:basedOn w:val="TableNormal"/>
    <w:uiPriority w:val="99"/>
    <w:semiHidden/>
    <w:rsid w:val="000C4043"/>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C4043"/>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C4043"/>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C4043"/>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C4043"/>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C4043"/>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C4043"/>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C4043"/>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C4043"/>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C4043"/>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C4043"/>
    <w:pPr>
      <w:spacing w:after="100"/>
      <w:ind w:left="1200"/>
    </w:pPr>
  </w:style>
  <w:style w:type="paragraph" w:styleId="TOC7">
    <w:name w:val="toc 7"/>
    <w:basedOn w:val="Normal"/>
    <w:next w:val="Normal"/>
    <w:autoRedefine/>
    <w:uiPriority w:val="99"/>
    <w:semiHidden/>
    <w:rsid w:val="000C4043"/>
    <w:pPr>
      <w:spacing w:after="100"/>
      <w:ind w:left="1440"/>
    </w:pPr>
  </w:style>
  <w:style w:type="paragraph" w:styleId="TOC8">
    <w:name w:val="toc 8"/>
    <w:basedOn w:val="Normal"/>
    <w:next w:val="Normal"/>
    <w:autoRedefine/>
    <w:uiPriority w:val="99"/>
    <w:semiHidden/>
    <w:rsid w:val="000C4043"/>
    <w:pPr>
      <w:spacing w:after="100"/>
      <w:ind w:left="1680"/>
    </w:pPr>
  </w:style>
  <w:style w:type="paragraph" w:styleId="TOC9">
    <w:name w:val="toc 9"/>
    <w:basedOn w:val="Normal"/>
    <w:next w:val="Normal"/>
    <w:autoRedefine/>
    <w:uiPriority w:val="99"/>
    <w:semiHidden/>
    <w:rsid w:val="000C4043"/>
    <w:pPr>
      <w:spacing w:after="100"/>
      <w:ind w:left="1920"/>
    </w:pPr>
  </w:style>
  <w:style w:type="character" w:customStyle="1" w:styleId="JuParaChar">
    <w:name w:val="Ju_Para Char"/>
    <w:basedOn w:val="DefaultParagraphFont"/>
    <w:uiPriority w:val="99"/>
    <w:rsid w:val="00751658"/>
    <w:rPr>
      <w:rFonts w:cs="Times New Roman"/>
      <w:sz w:val="24"/>
      <w:lang w:val="fr-FR" w:eastAsia="fr-FR" w:bidi="ar-SA"/>
    </w:rPr>
  </w:style>
  <w:style w:type="numbering" w:styleId="1ai">
    <w:name w:val="Outline List 1"/>
    <w:basedOn w:val="NoList"/>
    <w:uiPriority w:val="99"/>
    <w:semiHidden/>
    <w:unhideWhenUsed/>
    <w:rsid w:val="00D15E87"/>
    <w:pPr>
      <w:numPr>
        <w:numId w:val="14"/>
      </w:numPr>
    </w:pPr>
  </w:style>
  <w:style w:type="numbering" w:styleId="111111">
    <w:name w:val="Outline List 2"/>
    <w:basedOn w:val="NoList"/>
    <w:uiPriority w:val="99"/>
    <w:semiHidden/>
    <w:unhideWhenUsed/>
    <w:rsid w:val="00D15E87"/>
    <w:pPr>
      <w:numPr>
        <w:numId w:val="13"/>
      </w:numPr>
    </w:pPr>
  </w:style>
  <w:style w:type="numbering" w:styleId="ArticleSection">
    <w:name w:val="Outline List 3"/>
    <w:basedOn w:val="NoList"/>
    <w:uiPriority w:val="99"/>
    <w:semiHidden/>
    <w:unhideWhenUsed/>
    <w:rsid w:val="00D15E87"/>
    <w:pPr>
      <w:numPr>
        <w:numId w:val="15"/>
      </w:numPr>
    </w:pPr>
  </w:style>
</w:styles>
</file>

<file path=word/webSettings.xml><?xml version="1.0" encoding="utf-8"?>
<w:webSettings xmlns:r="http://schemas.openxmlformats.org/officeDocument/2006/relationships" xmlns:w="http://schemas.openxmlformats.org/wordprocessingml/2006/main">
  <w:divs>
    <w:div w:id="1181973114">
      <w:marLeft w:val="0"/>
      <w:marRight w:val="0"/>
      <w:marTop w:val="0"/>
      <w:marBottom w:val="0"/>
      <w:divBdr>
        <w:top w:val="none" w:sz="0" w:space="0" w:color="auto"/>
        <w:left w:val="none" w:sz="0" w:space="0" w:color="auto"/>
        <w:bottom w:val="none" w:sz="0" w:space="0" w:color="auto"/>
        <w:right w:val="none" w:sz="0" w:space="0" w:color="auto"/>
      </w:divBdr>
    </w:div>
    <w:div w:id="11819731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8</Pages>
  <Words>2119</Words>
  <Characters>11658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2</cp:revision>
  <cp:lastPrinted>2007-12-06T15:16:00Z</cp:lastPrinted>
  <dcterms:created xsi:type="dcterms:W3CDTF">2014-05-13T09:36:00Z</dcterms:created>
  <dcterms:modified xsi:type="dcterms:W3CDTF">2014-05-13T09:36:00Z</dcterms:modified>
  <cp:category>ECHR Template</cp:category>
</cp:coreProperties>
</file>